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8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望都县纪检委2020年</w:t>
      </w:r>
      <w:bookmarkStart w:id="0" w:name="_GoBack"/>
      <w:r>
        <w:rPr>
          <w:rFonts w:hint="eastAsia" w:ascii="方正小标宋_GBK" w:hAnsi="方正小标宋_GBK" w:eastAsia="方正小标宋_GBK" w:cs="方正小标宋_GBK"/>
          <w:b w:val="0"/>
          <w:bCs/>
          <w:color w:val="auto"/>
          <w:sz w:val="44"/>
          <w:szCs w:val="44"/>
        </w:rPr>
        <w:t>部门预算信息公开</w:t>
      </w:r>
    </w:p>
    <w:bookmarkEnd w:id="0"/>
    <w:p>
      <w:pPr>
        <w:keepNext w:val="0"/>
        <w:keepLines w:val="0"/>
        <w:pageBreakBefore w:val="0"/>
        <w:kinsoku/>
        <w:wordWrap/>
        <w:overflowPunct/>
        <w:topLinePunct w:val="0"/>
        <w:bidi w:val="0"/>
        <w:snapToGrid/>
        <w:spacing w:line="580" w:lineRule="exact"/>
        <w:ind w:firstLine="640" w:firstLineChars="200"/>
        <w:textAlignment w:val="auto"/>
        <w:rPr>
          <w:rFonts w:hint="eastAsia" w:ascii="仿宋_GB2312" w:hAnsi="黑体" w:eastAsia="仿宋_GB2312"/>
          <w:color w:val="auto"/>
          <w:sz w:val="32"/>
          <w:szCs w:val="32"/>
        </w:rPr>
      </w:pPr>
    </w:p>
    <w:p>
      <w:pPr>
        <w:keepNext w:val="0"/>
        <w:keepLines w:val="0"/>
        <w:pageBreakBefore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按照《预算法》、《河北省预决算公开操作规程实施细则》和《望都县财政局关于批复2020年部门预算的通知》（望财预 [2020]9号）文件要求，现将望都县纪检委2020年部门预算公开如下：</w:t>
      </w:r>
    </w:p>
    <w:p>
      <w:pPr>
        <w:keepNext w:val="0"/>
        <w:keepLines w:val="0"/>
        <w:pageBreakBefore w:val="0"/>
        <w:kinsoku/>
        <w:wordWrap/>
        <w:overflowPunct/>
        <w:topLinePunct w:val="0"/>
        <w:bidi w:val="0"/>
        <w:snapToGri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一、部门职责及机构设置。</w:t>
      </w:r>
    </w:p>
    <w:p>
      <w:pPr>
        <w:keepNext w:val="0"/>
        <w:keepLines w:val="0"/>
        <w:pageBreakBefore w:val="0"/>
        <w:kinsoku/>
        <w:wordWrap/>
        <w:overflowPunct/>
        <w:topLinePunct w:val="0"/>
        <w:bidi w:val="0"/>
        <w:snapToGrid/>
        <w:spacing w:line="580" w:lineRule="exact"/>
        <w:ind w:firstLine="643" w:firstLineChars="200"/>
        <w:textAlignment w:val="auto"/>
        <w:rPr>
          <w:rFonts w:hint="eastAsia" w:ascii="方正楷体_GBK" w:hAnsi="方正楷体_GBK" w:eastAsia="方正楷体_GBK" w:cs="方正楷体_GBK"/>
          <w:b/>
          <w:bCs/>
          <w:color w:val="auto"/>
          <w:sz w:val="32"/>
          <w:szCs w:val="32"/>
          <w:shd w:val="clear" w:color="auto" w:fill="FFFFFF"/>
        </w:rPr>
      </w:pPr>
      <w:r>
        <w:rPr>
          <w:rFonts w:hint="eastAsia" w:ascii="方正楷体_GBK" w:hAnsi="方正楷体_GBK" w:eastAsia="方正楷体_GBK" w:cs="方正楷体_GBK"/>
          <w:b/>
          <w:bCs/>
          <w:color w:val="auto"/>
          <w:sz w:val="32"/>
          <w:szCs w:val="32"/>
          <w:shd w:val="clear" w:color="auto" w:fill="FFFFFF"/>
        </w:rPr>
        <w:t>（一）部门职责</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8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管全县党的纪律监察工作。负责贯彻落实党中央、中纪委、省委、省纪委、市委、市纪委和县委关于加强党风廉政建设的决定；按照中央确定的党风廉政建设的领导体制和工作机制，对全县党风廉政建设和反腐败斗争作出部署，对各项任务组织协调，并负责对完成情况进行监督检查；维护党的章程和其他党内法规；监督检查党的路线、方针、政策和决议的执行情况。</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8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管全县行政监察工作。负责贯彻落实党中央、国务院和省县有关行政监察工作的决定；监督检查各乡镇和县政府各部门及其工作人员执行国家及省、市、县的政策、法律、法规、国民经济和社会发展计划，国务院和省、市、县政府颁发的决议和命令的执行情况。</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80" w:lineRule="exact"/>
        <w:ind w:firstLine="320"/>
        <w:jc w:val="left"/>
        <w:textAlignment w:val="auto"/>
        <w:rPr>
          <w:rFonts w:hint="eastAsia" w:ascii="仿宋_GB2312" w:hAnsi="仿宋_GB2312" w:eastAsia="仿宋_GB2312" w:cs="仿宋_GB2312"/>
          <w:color w:val="auto"/>
          <w:sz w:val="32"/>
          <w:szCs w:val="32"/>
        </w:rPr>
      </w:pPr>
      <w:r>
        <w:rPr>
          <w:rFonts w:hint="eastAsia" w:ascii="仿宋" w:hAnsi="仿宋" w:eastAsia="仿宋"/>
          <w:color w:val="auto"/>
          <w:sz w:val="32"/>
          <w:szCs w:val="32"/>
        </w:rPr>
        <w:t>　</w:t>
      </w:r>
      <w:r>
        <w:rPr>
          <w:rFonts w:hint="eastAsia" w:ascii="仿宋_GB2312" w:hAnsi="仿宋_GB2312" w:eastAsia="仿宋_GB2312" w:cs="仿宋_GB2312"/>
          <w:color w:val="auto"/>
          <w:sz w:val="32"/>
          <w:szCs w:val="32"/>
        </w:rPr>
        <w:t>负责检查并处理县委、县政府各部门、各乡镇党的组织违反党的章程及党内法规的案件，决定和取消对这些案件中的党员的处分；受理党员的控告和申诉，必要时直接查处下级党的纪律监察机关管辖范围内的比较重要或复杂的案件。</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8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调查处理县政府各部门及其工作人员和各乡镇人民政府及其主要负责人违反国家政策、法规及违反政纪的行为，并根据责任人所犯错误的情节轻重，按有关程序提出处分建议或按县政府授权直接给予行政处分,受理监察对象不服政纪处分的申诉;受理个人或单位对监察对象违纪行为的的检举、控告。</w:t>
      </w:r>
    </w:p>
    <w:p>
      <w:pPr>
        <w:keepNext w:val="0"/>
        <w:keepLines w:val="0"/>
        <w:pageBreakBefore w:val="0"/>
        <w:kinsoku/>
        <w:wordWrap/>
        <w:overflowPunct/>
        <w:topLinePunct w:val="0"/>
        <w:bidi w:val="0"/>
        <w:snapToGrid/>
        <w:spacing w:line="580" w:lineRule="exact"/>
        <w:ind w:firstLine="643" w:firstLineChars="200"/>
        <w:textAlignment w:val="auto"/>
        <w:rPr>
          <w:rFonts w:hint="eastAsia" w:ascii="方正楷体_GBK" w:hAnsi="方正楷体_GBK" w:eastAsia="方正楷体_GBK" w:cs="方正楷体_GBK"/>
          <w:b/>
          <w:bCs/>
          <w:color w:val="auto"/>
          <w:sz w:val="32"/>
          <w:szCs w:val="32"/>
          <w:shd w:val="clear" w:color="auto" w:fill="FFFFFF"/>
        </w:rPr>
      </w:pPr>
      <w:r>
        <w:rPr>
          <w:rFonts w:hint="eastAsia" w:ascii="方正楷体_GBK" w:hAnsi="方正楷体_GBK" w:eastAsia="方正楷体_GBK" w:cs="方正楷体_GBK"/>
          <w:b/>
          <w:bCs/>
          <w:color w:val="auto"/>
          <w:sz w:val="32"/>
          <w:szCs w:val="32"/>
          <w:shd w:val="clear" w:color="auto" w:fill="FFFFFF"/>
        </w:rPr>
        <w:t>（二）机构设置</w:t>
      </w:r>
    </w:p>
    <w:p>
      <w:pPr>
        <w:keepNext w:val="0"/>
        <w:keepLines w:val="0"/>
        <w:pageBreakBefore w:val="0"/>
        <w:kinsoku/>
        <w:wordWrap/>
        <w:overflowPunct/>
        <w:topLinePunct w:val="0"/>
        <w:bidi w:val="0"/>
        <w:snapToGrid/>
        <w:spacing w:line="580" w:lineRule="exact"/>
        <w:jc w:val="center"/>
        <w:textAlignment w:val="auto"/>
        <w:outlineLvl w:val="0"/>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部门机构设置情况</w:t>
      </w:r>
    </w:p>
    <w:tbl>
      <w:tblPr>
        <w:tblStyle w:val="5"/>
        <w:tblW w:w="89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661"/>
        <w:gridCol w:w="23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827" w:type="dxa"/>
            <w:vMerge w:val="restart"/>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b/>
                <w:color w:val="auto"/>
              </w:rPr>
            </w:pPr>
            <w:r>
              <w:rPr>
                <w:rFonts w:hint="eastAsia" w:ascii="方正书宋_GBK" w:eastAsia="方正书宋_GBK"/>
                <w:b/>
                <w:color w:val="auto"/>
              </w:rPr>
              <w:t>单位名称</w:t>
            </w:r>
          </w:p>
        </w:tc>
        <w:tc>
          <w:tcPr>
            <w:tcW w:w="1134" w:type="dxa"/>
            <w:vMerge w:val="restart"/>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b/>
                <w:color w:val="auto"/>
              </w:rPr>
            </w:pPr>
            <w:r>
              <w:rPr>
                <w:rFonts w:hint="eastAsia" w:ascii="方正书宋_GBK" w:eastAsia="方正书宋_GBK"/>
                <w:b/>
                <w:color w:val="auto"/>
              </w:rPr>
              <w:t>单位性质</w:t>
            </w:r>
          </w:p>
        </w:tc>
        <w:tc>
          <w:tcPr>
            <w:tcW w:w="1661" w:type="dxa"/>
            <w:vMerge w:val="restart"/>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b/>
                <w:color w:val="auto"/>
              </w:rPr>
            </w:pPr>
            <w:r>
              <w:rPr>
                <w:rFonts w:hint="eastAsia" w:ascii="方正书宋_GBK" w:eastAsia="方正书宋_GBK"/>
                <w:b/>
                <w:color w:val="auto"/>
              </w:rPr>
              <w:t>单位规格</w:t>
            </w:r>
          </w:p>
        </w:tc>
        <w:tc>
          <w:tcPr>
            <w:tcW w:w="2340" w:type="dxa"/>
            <w:vMerge w:val="restart"/>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b/>
                <w:color w:val="auto"/>
              </w:rPr>
            </w:pPr>
            <w:r>
              <w:rPr>
                <w:rFonts w:hint="eastAsia" w:ascii="方正书宋_GBK" w:eastAsia="方正书宋_GBK"/>
                <w:b/>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827" w:type="dxa"/>
            <w:vMerge w:val="continue"/>
            <w:vAlign w:val="center"/>
          </w:tcPr>
          <w:p>
            <w:pPr>
              <w:keepNext w:val="0"/>
              <w:keepLines w:val="0"/>
              <w:pageBreakBefore w:val="0"/>
              <w:kinsoku/>
              <w:wordWrap/>
              <w:overflowPunct/>
              <w:topLinePunct w:val="0"/>
              <w:bidi w:val="0"/>
              <w:snapToGrid/>
              <w:spacing w:line="580" w:lineRule="exact"/>
              <w:jc w:val="left"/>
              <w:textAlignment w:val="auto"/>
              <w:outlineLvl w:val="0"/>
              <w:rPr>
                <w:rFonts w:ascii="仿宋" w:hAnsi="仿宋" w:eastAsia="仿宋"/>
                <w:color w:val="auto"/>
                <w:sz w:val="32"/>
                <w:szCs w:val="32"/>
              </w:rPr>
            </w:pPr>
          </w:p>
        </w:tc>
        <w:tc>
          <w:tcPr>
            <w:tcW w:w="1134" w:type="dxa"/>
            <w:vMerge w:val="continue"/>
            <w:vAlign w:val="center"/>
          </w:tcPr>
          <w:p>
            <w:pPr>
              <w:keepNext w:val="0"/>
              <w:keepLines w:val="0"/>
              <w:pageBreakBefore w:val="0"/>
              <w:kinsoku/>
              <w:wordWrap/>
              <w:overflowPunct/>
              <w:topLinePunct w:val="0"/>
              <w:bidi w:val="0"/>
              <w:snapToGrid/>
              <w:spacing w:line="580" w:lineRule="exact"/>
              <w:jc w:val="left"/>
              <w:textAlignment w:val="auto"/>
              <w:outlineLvl w:val="0"/>
              <w:rPr>
                <w:rFonts w:ascii="仿宋" w:hAnsi="仿宋" w:eastAsia="仿宋"/>
                <w:color w:val="auto"/>
                <w:sz w:val="32"/>
                <w:szCs w:val="32"/>
              </w:rPr>
            </w:pPr>
          </w:p>
        </w:tc>
        <w:tc>
          <w:tcPr>
            <w:tcW w:w="1661" w:type="dxa"/>
            <w:vMerge w:val="continue"/>
            <w:vAlign w:val="center"/>
          </w:tcPr>
          <w:p>
            <w:pPr>
              <w:keepNext w:val="0"/>
              <w:keepLines w:val="0"/>
              <w:pageBreakBefore w:val="0"/>
              <w:kinsoku/>
              <w:wordWrap/>
              <w:overflowPunct/>
              <w:topLinePunct w:val="0"/>
              <w:bidi w:val="0"/>
              <w:snapToGrid/>
              <w:spacing w:line="580" w:lineRule="exact"/>
              <w:jc w:val="left"/>
              <w:textAlignment w:val="auto"/>
              <w:outlineLvl w:val="0"/>
              <w:rPr>
                <w:rFonts w:ascii="仿宋" w:hAnsi="仿宋" w:eastAsia="仿宋"/>
                <w:color w:val="auto"/>
                <w:sz w:val="32"/>
                <w:szCs w:val="32"/>
              </w:rPr>
            </w:pPr>
          </w:p>
        </w:tc>
        <w:tc>
          <w:tcPr>
            <w:tcW w:w="2340" w:type="dxa"/>
            <w:vMerge w:val="continue"/>
            <w:vAlign w:val="center"/>
          </w:tcPr>
          <w:p>
            <w:pPr>
              <w:keepNext w:val="0"/>
              <w:keepLines w:val="0"/>
              <w:pageBreakBefore w:val="0"/>
              <w:kinsoku/>
              <w:wordWrap/>
              <w:overflowPunct/>
              <w:topLinePunct w:val="0"/>
              <w:bidi w:val="0"/>
              <w:snapToGrid/>
              <w:spacing w:line="580" w:lineRule="exact"/>
              <w:jc w:val="left"/>
              <w:textAlignment w:val="auto"/>
              <w:outlineLvl w:val="0"/>
              <w:rPr>
                <w:rFonts w:ascii="仿宋" w:hAnsi="仿宋" w:eastAsia="仿宋"/>
                <w:color w:val="auto"/>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3827" w:type="dxa"/>
            <w:vAlign w:val="center"/>
          </w:tcPr>
          <w:p>
            <w:pPr>
              <w:keepNext w:val="0"/>
              <w:keepLines w:val="0"/>
              <w:pageBreakBefore w:val="0"/>
              <w:kinsoku/>
              <w:wordWrap/>
              <w:overflowPunct/>
              <w:topLinePunct w:val="0"/>
              <w:bidi w:val="0"/>
              <w:snapToGrid/>
              <w:spacing w:line="58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中共望都县纪律检查委员会（机关）</w:t>
            </w:r>
          </w:p>
        </w:tc>
        <w:tc>
          <w:tcPr>
            <w:tcW w:w="1134" w:type="dxa"/>
            <w:vAlign w:val="center"/>
          </w:tcPr>
          <w:p>
            <w:pPr>
              <w:keepNext w:val="0"/>
              <w:keepLines w:val="0"/>
              <w:pageBreakBefore w:val="0"/>
              <w:kinsoku/>
              <w:wordWrap/>
              <w:overflowPunct/>
              <w:topLinePunct w:val="0"/>
              <w:bidi w:val="0"/>
              <w:snapToGrid/>
              <w:spacing w:line="5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w:t>
            </w:r>
          </w:p>
        </w:tc>
        <w:tc>
          <w:tcPr>
            <w:tcW w:w="1661" w:type="dxa"/>
            <w:vAlign w:val="center"/>
          </w:tcPr>
          <w:p>
            <w:pPr>
              <w:keepNext w:val="0"/>
              <w:keepLines w:val="0"/>
              <w:pageBreakBefore w:val="0"/>
              <w:kinsoku/>
              <w:wordWrap/>
              <w:overflowPunct/>
              <w:topLinePunct w:val="0"/>
              <w:bidi w:val="0"/>
              <w:snapToGrid/>
              <w:spacing w:line="5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副县级</w:t>
            </w:r>
          </w:p>
        </w:tc>
        <w:tc>
          <w:tcPr>
            <w:tcW w:w="2340" w:type="dxa"/>
            <w:vAlign w:val="center"/>
          </w:tcPr>
          <w:p>
            <w:pPr>
              <w:keepNext w:val="0"/>
              <w:keepLines w:val="0"/>
              <w:pageBreakBefore w:val="0"/>
              <w:kinsoku/>
              <w:wordWrap/>
              <w:overflowPunct/>
              <w:topLinePunct w:val="0"/>
              <w:bidi w:val="0"/>
              <w:snapToGrid/>
              <w:spacing w:line="5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财政拨款</w:t>
            </w:r>
          </w:p>
        </w:tc>
      </w:tr>
    </w:tbl>
    <w:p>
      <w:pPr>
        <w:keepNext w:val="0"/>
        <w:keepLines w:val="0"/>
        <w:pageBreakBefore w:val="0"/>
        <w:kinsoku/>
        <w:wordWrap/>
        <w:overflowPunct/>
        <w:topLinePunct w:val="0"/>
        <w:bidi w:val="0"/>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纪委机关设置纪检监察类、监督类、综合保障类三类内设机构。根据工作需要和编制数量，我县纪委机关共设置12个内设机构。办公室、组织部、党风政风监督室、案件监督管理室、第一监督室、第二监督室、第三监督室、第四监督室、第一纪检监察室、第二纪检监察室、第三纪检监察室、案件审理室、县委巡察工作领导小组办公室。</w:t>
      </w:r>
    </w:p>
    <w:p>
      <w:pPr>
        <w:keepNext w:val="0"/>
        <w:keepLines w:val="0"/>
        <w:pageBreakBefore w:val="0"/>
        <w:kinsoku/>
        <w:wordWrap/>
        <w:overflowPunct/>
        <w:topLinePunct w:val="0"/>
        <w:bidi w:val="0"/>
        <w:snapToGrid/>
        <w:spacing w:line="580" w:lineRule="exact"/>
        <w:ind w:firstLine="640" w:firstLineChars="200"/>
        <w:textAlignment w:val="auto"/>
        <w:outlineLvl w:val="0"/>
        <w:rPr>
          <w:rFonts w:ascii="黑体" w:hAnsi="黑体" w:eastAsia="黑体"/>
          <w:bCs/>
          <w:color w:val="auto"/>
          <w:sz w:val="32"/>
          <w:szCs w:val="32"/>
          <w:shd w:val="clear" w:color="auto" w:fill="FFFFFF"/>
        </w:rPr>
      </w:pPr>
      <w:r>
        <w:rPr>
          <w:rFonts w:hint="eastAsia" w:ascii="黑体" w:hAnsi="黑体" w:eastAsia="黑体"/>
          <w:bCs/>
          <w:color w:val="auto"/>
          <w:sz w:val="32"/>
          <w:szCs w:val="32"/>
          <w:shd w:val="clear" w:color="auto" w:fill="FFFFFF"/>
        </w:rPr>
        <w:t>二、部门预算安排的总体情况</w:t>
      </w:r>
    </w:p>
    <w:p>
      <w:pPr>
        <w:keepNext w:val="0"/>
        <w:keepLines w:val="0"/>
        <w:pageBreakBefore w:val="0"/>
        <w:kinsoku/>
        <w:wordWrap/>
        <w:overflowPunct/>
        <w:topLinePunct w:val="0"/>
        <w:bidi w:val="0"/>
        <w:snapToGrid/>
        <w:spacing w:line="580" w:lineRule="exact"/>
        <w:ind w:firstLine="675" w:firstLineChars="21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按照预算管理有关规定，目前我县部门预算的编制实行综合预算制度，即全部收入和支出都反映在预算中。望都县纪检委收支包含在部门预算中。</w:t>
      </w:r>
    </w:p>
    <w:p>
      <w:pPr>
        <w:keepNext w:val="0"/>
        <w:keepLines w:val="0"/>
        <w:pageBreakBefore w:val="0"/>
        <w:kinsoku/>
        <w:wordWrap/>
        <w:overflowPunct/>
        <w:topLinePunct w:val="0"/>
        <w:bidi w:val="0"/>
        <w:snapToGrid/>
        <w:spacing w:line="580" w:lineRule="exact"/>
        <w:ind w:firstLine="643" w:firstLineChars="200"/>
        <w:textAlignment w:val="auto"/>
        <w:rPr>
          <w:rFonts w:hint="eastAsia" w:ascii="方正楷体_GBK" w:hAnsi="方正楷体_GBK" w:eastAsia="方正楷体_GBK" w:cs="方正楷体_GBK"/>
          <w:b/>
          <w:bCs/>
          <w:color w:val="auto"/>
          <w:sz w:val="32"/>
          <w:szCs w:val="32"/>
          <w:shd w:val="clear" w:color="auto" w:fill="FFFFFF"/>
        </w:rPr>
      </w:pPr>
      <w:r>
        <w:rPr>
          <w:rFonts w:hint="eastAsia" w:ascii="方正楷体_GBK" w:hAnsi="方正楷体_GBK" w:eastAsia="方正楷体_GBK" w:cs="方正楷体_GBK"/>
          <w:b/>
          <w:bCs/>
          <w:color w:val="auto"/>
          <w:sz w:val="32"/>
          <w:szCs w:val="32"/>
          <w:shd w:val="clear" w:color="auto" w:fill="FFFFFF"/>
        </w:rPr>
        <w:t>（一）2020年部门预算收入情况</w:t>
      </w:r>
    </w:p>
    <w:p>
      <w:pPr>
        <w:keepNext w:val="0"/>
        <w:keepLines w:val="0"/>
        <w:pageBreakBefore w:val="0"/>
        <w:kinsoku/>
        <w:wordWrap/>
        <w:overflowPunct/>
        <w:topLinePunct w:val="0"/>
        <w:bidi w:val="0"/>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反映本部门当年全部收入。</w:t>
      </w:r>
      <w:r>
        <w:rPr>
          <w:rFonts w:ascii="仿宋_GB2312" w:eastAsia="仿宋_GB2312"/>
          <w:color w:val="auto"/>
          <w:sz w:val="32"/>
          <w:szCs w:val="32"/>
        </w:rPr>
        <w:t>2020</w:t>
      </w:r>
      <w:r>
        <w:rPr>
          <w:rFonts w:hint="eastAsia" w:ascii="仿宋_GB2312" w:eastAsia="仿宋_GB2312"/>
          <w:color w:val="auto"/>
          <w:sz w:val="32"/>
          <w:szCs w:val="32"/>
        </w:rPr>
        <w:t>年部门预算收入总额941.08万元，其中：一般公共预算收入833.36万元，政府性基金预算收入0万元，财政专户核拨收入0万元，其它来源收入0万元。</w:t>
      </w:r>
    </w:p>
    <w:p>
      <w:pPr>
        <w:keepNext w:val="0"/>
        <w:keepLines w:val="0"/>
        <w:pageBreakBefore w:val="0"/>
        <w:kinsoku/>
        <w:wordWrap/>
        <w:overflowPunct/>
        <w:topLinePunct w:val="0"/>
        <w:bidi w:val="0"/>
        <w:snapToGrid/>
        <w:spacing w:line="580" w:lineRule="exact"/>
        <w:ind w:firstLine="643" w:firstLineChars="200"/>
        <w:textAlignment w:val="auto"/>
        <w:rPr>
          <w:rFonts w:hint="eastAsia" w:ascii="方正楷体_GBK" w:hAnsi="方正楷体_GBK" w:eastAsia="方正楷体_GBK" w:cs="方正楷体_GBK"/>
          <w:b/>
          <w:bCs/>
          <w:color w:val="auto"/>
          <w:sz w:val="32"/>
          <w:szCs w:val="32"/>
          <w:shd w:val="clear" w:color="auto" w:fill="FFFFFF"/>
        </w:rPr>
      </w:pPr>
      <w:r>
        <w:rPr>
          <w:rFonts w:hint="eastAsia" w:ascii="方正楷体_GBK" w:hAnsi="方正楷体_GBK" w:eastAsia="方正楷体_GBK" w:cs="方正楷体_GBK"/>
          <w:b/>
          <w:bCs/>
          <w:color w:val="auto"/>
          <w:sz w:val="32"/>
          <w:szCs w:val="32"/>
          <w:shd w:val="clear" w:color="auto" w:fill="FFFFFF"/>
        </w:rPr>
        <w:t>（二）2020年部门预算支出情况</w:t>
      </w:r>
    </w:p>
    <w:p>
      <w:pPr>
        <w:keepNext w:val="0"/>
        <w:keepLines w:val="0"/>
        <w:pageBreakBefore w:val="0"/>
        <w:kinsoku/>
        <w:wordWrap/>
        <w:overflowPunct/>
        <w:topLinePunct w:val="0"/>
        <w:bidi w:val="0"/>
        <w:snapToGrid/>
        <w:spacing w:line="580" w:lineRule="exact"/>
        <w:ind w:firstLine="640" w:firstLineChars="200"/>
        <w:textAlignment w:val="auto"/>
        <w:rPr>
          <w:rFonts w:ascii="仿宋" w:hAnsi="仿宋" w:eastAsia="仿宋"/>
          <w:color w:val="auto"/>
          <w:sz w:val="32"/>
          <w:szCs w:val="32"/>
        </w:rPr>
      </w:pPr>
      <w:r>
        <w:rPr>
          <w:rFonts w:ascii="仿宋_GB2312" w:eastAsia="仿宋_GB2312"/>
          <w:color w:val="auto"/>
          <w:sz w:val="32"/>
          <w:szCs w:val="32"/>
        </w:rPr>
        <w:t>2020</w:t>
      </w:r>
      <w:r>
        <w:rPr>
          <w:rFonts w:hint="eastAsia" w:ascii="仿宋_GB2312" w:eastAsia="仿宋_GB2312"/>
          <w:color w:val="auto"/>
          <w:sz w:val="32"/>
          <w:szCs w:val="32"/>
        </w:rPr>
        <w:t>年部门支出安排预算总额941.08万元，其中：基本支出661.08万元，包括人员经费512.1万元和日常公用经费148.98万元；项目支出280万元，</w:t>
      </w:r>
      <w:r>
        <w:rPr>
          <w:rFonts w:hint="eastAsia" w:ascii="仿宋" w:hAnsi="仿宋" w:eastAsia="仿宋"/>
          <w:color w:val="auto"/>
          <w:sz w:val="32"/>
          <w:szCs w:val="32"/>
        </w:rPr>
        <w:t>主要为纪检监察事务、全县巡视巡察建设项目等。</w:t>
      </w:r>
    </w:p>
    <w:p>
      <w:pPr>
        <w:keepNext w:val="0"/>
        <w:keepLines w:val="0"/>
        <w:pageBreakBefore w:val="0"/>
        <w:kinsoku/>
        <w:wordWrap/>
        <w:overflowPunct/>
        <w:topLinePunct w:val="0"/>
        <w:bidi w:val="0"/>
        <w:snapToGrid/>
        <w:spacing w:line="580" w:lineRule="exact"/>
        <w:ind w:firstLine="643" w:firstLineChars="200"/>
        <w:textAlignment w:val="auto"/>
        <w:rPr>
          <w:rFonts w:hint="eastAsia" w:ascii="方正楷体_GBK" w:hAnsi="方正楷体_GBK" w:eastAsia="方正楷体_GBK" w:cs="方正楷体_GBK"/>
          <w:b/>
          <w:bCs/>
          <w:color w:val="auto"/>
          <w:sz w:val="32"/>
          <w:szCs w:val="32"/>
          <w:shd w:val="clear" w:color="auto" w:fill="FFFFFF"/>
        </w:rPr>
      </w:pPr>
      <w:r>
        <w:rPr>
          <w:rFonts w:hint="eastAsia" w:ascii="方正楷体_GBK" w:hAnsi="方正楷体_GBK" w:eastAsia="方正楷体_GBK" w:cs="方正楷体_GBK"/>
          <w:b/>
          <w:bCs/>
          <w:color w:val="auto"/>
          <w:sz w:val="32"/>
          <w:szCs w:val="32"/>
          <w:shd w:val="clear" w:color="auto" w:fill="FFFFFF"/>
        </w:rPr>
        <w:t>（三）与上年增减情况</w:t>
      </w:r>
    </w:p>
    <w:p>
      <w:pPr>
        <w:keepNext w:val="0"/>
        <w:keepLines w:val="0"/>
        <w:pageBreakBefore w:val="0"/>
        <w:kinsoku/>
        <w:wordWrap/>
        <w:overflowPunct/>
        <w:topLinePunct w:val="0"/>
        <w:bidi w:val="0"/>
        <w:snapToGrid/>
        <w:spacing w:line="580" w:lineRule="exact"/>
        <w:ind w:firstLine="640" w:firstLineChars="200"/>
        <w:textAlignment w:val="auto"/>
        <w:rPr>
          <w:rFonts w:ascii="仿宋" w:hAnsi="仿宋" w:eastAsia="仿宋"/>
          <w:color w:val="auto"/>
          <w:sz w:val="32"/>
          <w:szCs w:val="32"/>
        </w:rPr>
      </w:pPr>
      <w:r>
        <w:rPr>
          <w:rFonts w:ascii="仿宋_GB2312" w:eastAsia="仿宋_GB2312"/>
          <w:color w:val="auto"/>
          <w:sz w:val="32"/>
          <w:szCs w:val="32"/>
        </w:rPr>
        <w:t>2020</w:t>
      </w:r>
      <w:r>
        <w:rPr>
          <w:rFonts w:hint="eastAsia" w:ascii="仿宋_GB2312" w:eastAsia="仿宋_GB2312"/>
          <w:color w:val="auto"/>
          <w:sz w:val="32"/>
          <w:szCs w:val="32"/>
        </w:rPr>
        <w:t>年部门预算收支安排941.08万元，较</w:t>
      </w:r>
      <w:r>
        <w:rPr>
          <w:rFonts w:ascii="仿宋_GB2312" w:eastAsia="仿宋_GB2312"/>
          <w:color w:val="auto"/>
          <w:sz w:val="32"/>
          <w:szCs w:val="32"/>
        </w:rPr>
        <w:t>2019</w:t>
      </w:r>
      <w:r>
        <w:rPr>
          <w:rFonts w:hint="eastAsia" w:ascii="仿宋_GB2312" w:eastAsia="仿宋_GB2312"/>
          <w:color w:val="auto"/>
          <w:sz w:val="32"/>
          <w:szCs w:val="32"/>
        </w:rPr>
        <w:t>年增长223.84万元。其中：</w:t>
      </w:r>
      <w:r>
        <w:rPr>
          <w:rFonts w:ascii="仿宋_GB2312" w:eastAsia="仿宋_GB2312"/>
          <w:color w:val="auto"/>
          <w:sz w:val="32"/>
          <w:szCs w:val="32"/>
        </w:rPr>
        <w:t>基本支出增</w:t>
      </w:r>
      <w:r>
        <w:rPr>
          <w:rFonts w:hint="eastAsia" w:ascii="仿宋_GB2312" w:eastAsia="仿宋_GB2312"/>
          <w:color w:val="auto"/>
          <w:sz w:val="32"/>
          <w:szCs w:val="32"/>
        </w:rPr>
        <w:t>长128.34</w:t>
      </w:r>
      <w:r>
        <w:rPr>
          <w:rFonts w:ascii="仿宋_GB2312" w:eastAsia="仿宋_GB2312"/>
          <w:color w:val="auto"/>
          <w:sz w:val="32"/>
          <w:szCs w:val="32"/>
        </w:rPr>
        <w:t>万元，主</w:t>
      </w:r>
      <w:r>
        <w:rPr>
          <w:rFonts w:hint="eastAsia" w:ascii="仿宋_GB2312" w:eastAsia="仿宋_GB2312"/>
          <w:color w:val="auto"/>
          <w:sz w:val="32"/>
          <w:szCs w:val="32"/>
        </w:rPr>
        <w:t>要为人员经费增加</w:t>
      </w:r>
      <w:r>
        <w:rPr>
          <w:rFonts w:ascii="仿宋_GB2312" w:eastAsia="仿宋_GB2312"/>
          <w:color w:val="auto"/>
          <w:sz w:val="32"/>
          <w:szCs w:val="32"/>
        </w:rPr>
        <w:t>；项目支出增</w:t>
      </w:r>
      <w:r>
        <w:rPr>
          <w:rFonts w:hint="eastAsia" w:ascii="仿宋_GB2312" w:eastAsia="仿宋_GB2312"/>
          <w:color w:val="auto"/>
          <w:sz w:val="32"/>
          <w:szCs w:val="32"/>
        </w:rPr>
        <w:t>长95.5</w:t>
      </w:r>
      <w:r>
        <w:rPr>
          <w:rFonts w:ascii="仿宋_GB2312" w:eastAsia="仿宋_GB2312"/>
          <w:color w:val="auto"/>
          <w:sz w:val="32"/>
          <w:szCs w:val="32"/>
        </w:rPr>
        <w:t>万元，主要</w:t>
      </w:r>
      <w:r>
        <w:rPr>
          <w:rFonts w:hint="eastAsia" w:ascii="仿宋_GB2312" w:eastAsia="仿宋_GB2312"/>
          <w:color w:val="auto"/>
          <w:sz w:val="32"/>
          <w:szCs w:val="32"/>
        </w:rPr>
        <w:t>为</w:t>
      </w:r>
      <w:r>
        <w:rPr>
          <w:rFonts w:hint="eastAsia" w:ascii="仿宋" w:hAnsi="仿宋" w:eastAsia="仿宋"/>
          <w:color w:val="auto"/>
          <w:sz w:val="32"/>
          <w:szCs w:val="32"/>
        </w:rPr>
        <w:t>按照省、市纪委要求加大办案谈话室建设</w:t>
      </w:r>
    </w:p>
    <w:p>
      <w:pPr>
        <w:keepNext w:val="0"/>
        <w:keepLines w:val="0"/>
        <w:pageBreakBefore w:val="0"/>
        <w:kinsoku/>
        <w:wordWrap/>
        <w:overflowPunct/>
        <w:topLinePunct w:val="0"/>
        <w:bidi w:val="0"/>
        <w:snapToGrid/>
        <w:spacing w:line="580" w:lineRule="exact"/>
        <w:ind w:firstLine="640" w:firstLineChars="200"/>
        <w:textAlignment w:val="auto"/>
        <w:outlineLvl w:val="0"/>
        <w:rPr>
          <w:rFonts w:ascii="黑体" w:hAnsi="黑体" w:eastAsia="黑体"/>
          <w:bCs/>
          <w:color w:val="auto"/>
          <w:sz w:val="32"/>
          <w:szCs w:val="32"/>
          <w:shd w:val="clear" w:color="auto" w:fill="FFFFFF"/>
        </w:rPr>
      </w:pPr>
      <w:r>
        <w:rPr>
          <w:rFonts w:hint="eastAsia" w:ascii="黑体" w:hAnsi="黑体" w:eastAsia="黑体"/>
          <w:bCs/>
          <w:color w:val="auto"/>
          <w:sz w:val="32"/>
          <w:szCs w:val="32"/>
          <w:shd w:val="clear" w:color="auto" w:fill="FFFFFF"/>
        </w:rPr>
        <w:t>三、机关运行经费安排情况</w:t>
      </w:r>
    </w:p>
    <w:p>
      <w:pPr>
        <w:keepNext w:val="0"/>
        <w:keepLines w:val="0"/>
        <w:pageBreakBefore w:val="0"/>
        <w:kinsoku/>
        <w:wordWrap/>
        <w:overflowPunct/>
        <w:topLinePunct w:val="0"/>
        <w:bidi w:val="0"/>
        <w:snapToGrid/>
        <w:spacing w:line="580" w:lineRule="exact"/>
        <w:ind w:firstLine="518" w:firstLineChars="162"/>
        <w:textAlignment w:val="auto"/>
        <w:rPr>
          <w:rFonts w:ascii="仿宋_GB2312" w:eastAsia="仿宋_GB2312"/>
          <w:color w:val="auto"/>
          <w:sz w:val="32"/>
          <w:szCs w:val="32"/>
        </w:rPr>
      </w:pPr>
      <w:r>
        <w:rPr>
          <w:rFonts w:hint="eastAsia" w:ascii="仿宋_GB2312" w:eastAsia="仿宋_GB2312"/>
          <w:color w:val="auto"/>
          <w:sz w:val="32"/>
          <w:szCs w:val="32"/>
        </w:rPr>
        <w:t>2020年我单位机关运行经费共计安排148.98万元。机关运行经费主要用于保证机关正常运转的办公费及印刷费、邮电费、差旅费、会议费、一般设备购置费、日常维修费、公务车运行维护费等支出。</w:t>
      </w:r>
    </w:p>
    <w:p>
      <w:pPr>
        <w:keepNext w:val="0"/>
        <w:keepLines w:val="0"/>
        <w:pageBreakBefore w:val="0"/>
        <w:kinsoku/>
        <w:wordWrap/>
        <w:overflowPunct/>
        <w:topLinePunct w:val="0"/>
        <w:bidi w:val="0"/>
        <w:snapToGrid/>
        <w:spacing w:line="580" w:lineRule="exact"/>
        <w:ind w:firstLine="640" w:firstLineChars="200"/>
        <w:textAlignment w:val="auto"/>
        <w:outlineLvl w:val="0"/>
        <w:rPr>
          <w:rFonts w:ascii="黑体" w:hAnsi="黑体" w:eastAsia="黑体"/>
          <w:bCs/>
          <w:color w:val="auto"/>
          <w:sz w:val="32"/>
          <w:szCs w:val="32"/>
          <w:shd w:val="clear" w:color="auto" w:fill="FFFFFF"/>
        </w:rPr>
      </w:pPr>
      <w:r>
        <w:rPr>
          <w:rFonts w:hint="eastAsia" w:ascii="黑体" w:hAnsi="黑体" w:eastAsia="黑体"/>
          <w:bCs/>
          <w:color w:val="auto"/>
          <w:sz w:val="32"/>
          <w:szCs w:val="32"/>
          <w:shd w:val="clear" w:color="auto" w:fill="FFFFFF"/>
        </w:rPr>
        <w:t>四、财政拨款“三公”经费预算情况及增减变化情况。</w:t>
      </w:r>
    </w:p>
    <w:p>
      <w:pPr>
        <w:keepNext w:val="0"/>
        <w:keepLines w:val="0"/>
        <w:pageBreakBefore w:val="0"/>
        <w:kinsoku/>
        <w:wordWrap/>
        <w:overflowPunct/>
        <w:topLinePunct w:val="0"/>
        <w:bidi w:val="0"/>
        <w:snapToGrid/>
        <w:spacing w:line="58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2020</w:t>
      </w:r>
      <w:r>
        <w:rPr>
          <w:rFonts w:hint="eastAsia" w:ascii="仿宋_GB2312" w:eastAsia="仿宋_GB2312"/>
          <w:color w:val="auto"/>
          <w:sz w:val="32"/>
          <w:szCs w:val="32"/>
        </w:rPr>
        <w:t>年我部门“三公”经费预算30万元</w:t>
      </w:r>
      <w:r>
        <w:rPr>
          <w:rFonts w:ascii="仿宋_GB2312" w:eastAsia="仿宋_GB2312"/>
          <w:color w:val="auto"/>
          <w:sz w:val="32"/>
          <w:szCs w:val="32"/>
        </w:rPr>
        <w:t>,</w:t>
      </w:r>
      <w:r>
        <w:rPr>
          <w:rFonts w:hint="eastAsia" w:ascii="仿宋_GB2312" w:eastAsia="仿宋_GB2312"/>
          <w:color w:val="auto"/>
          <w:sz w:val="32"/>
          <w:szCs w:val="32"/>
        </w:rPr>
        <w:t>与</w:t>
      </w:r>
      <w:r>
        <w:rPr>
          <w:rFonts w:ascii="仿宋_GB2312" w:eastAsia="仿宋_GB2312"/>
          <w:color w:val="auto"/>
          <w:sz w:val="32"/>
          <w:szCs w:val="32"/>
        </w:rPr>
        <w:t>201</w:t>
      </w:r>
      <w:r>
        <w:rPr>
          <w:rFonts w:hint="eastAsia" w:ascii="仿宋_GB2312" w:eastAsia="仿宋_GB2312"/>
          <w:color w:val="auto"/>
          <w:sz w:val="32"/>
          <w:szCs w:val="32"/>
        </w:rPr>
        <w:t>9年持平</w:t>
      </w:r>
      <w:r>
        <w:rPr>
          <w:rFonts w:ascii="仿宋_GB2312" w:eastAsia="仿宋_GB2312"/>
          <w:color w:val="auto"/>
          <w:sz w:val="32"/>
          <w:szCs w:val="32"/>
        </w:rPr>
        <w:t>;</w:t>
      </w:r>
      <w:r>
        <w:rPr>
          <w:rFonts w:hint="eastAsia" w:ascii="仿宋_GB2312" w:eastAsia="仿宋_GB2312"/>
          <w:color w:val="auto"/>
          <w:sz w:val="32"/>
          <w:szCs w:val="32"/>
        </w:rPr>
        <w:t>其中因公出国（出境）0元，与2019年持平，无增减变化；公务接待费14万元，与</w:t>
      </w:r>
      <w:r>
        <w:rPr>
          <w:rFonts w:ascii="仿宋_GB2312" w:eastAsia="仿宋_GB2312"/>
          <w:color w:val="auto"/>
          <w:sz w:val="32"/>
          <w:szCs w:val="32"/>
        </w:rPr>
        <w:t>201</w:t>
      </w:r>
      <w:r>
        <w:rPr>
          <w:rFonts w:hint="eastAsia" w:ascii="仿宋_GB2312" w:eastAsia="仿宋_GB2312"/>
          <w:color w:val="auto"/>
          <w:sz w:val="32"/>
          <w:szCs w:val="32"/>
        </w:rPr>
        <w:t>9年持平，无增减变化；公务用车购置经费0万元，与2019年持平，无增减变化</w:t>
      </w:r>
      <w:r>
        <w:rPr>
          <w:rFonts w:ascii="仿宋_GB2312" w:eastAsia="仿宋_GB2312"/>
          <w:color w:val="auto"/>
          <w:sz w:val="32"/>
          <w:szCs w:val="32"/>
        </w:rPr>
        <w:t>;</w:t>
      </w:r>
      <w:r>
        <w:rPr>
          <w:rFonts w:hint="eastAsia" w:ascii="仿宋_GB2312" w:eastAsia="仿宋_GB2312"/>
          <w:color w:val="auto"/>
          <w:sz w:val="32"/>
          <w:szCs w:val="32"/>
        </w:rPr>
        <w:t>公务用车运行维护费16万元，与</w:t>
      </w:r>
      <w:r>
        <w:rPr>
          <w:rFonts w:ascii="仿宋_GB2312" w:eastAsia="仿宋_GB2312"/>
          <w:color w:val="auto"/>
          <w:sz w:val="32"/>
          <w:szCs w:val="32"/>
        </w:rPr>
        <w:t>201</w:t>
      </w:r>
      <w:r>
        <w:rPr>
          <w:rFonts w:hint="eastAsia" w:ascii="仿宋_GB2312" w:eastAsia="仿宋_GB2312"/>
          <w:color w:val="auto"/>
          <w:sz w:val="32"/>
          <w:szCs w:val="32"/>
        </w:rPr>
        <w:t>9年持平，无增减变化。</w:t>
      </w:r>
    </w:p>
    <w:p>
      <w:pPr>
        <w:keepNext w:val="0"/>
        <w:keepLines w:val="0"/>
        <w:pageBreakBefore w:val="0"/>
        <w:kinsoku/>
        <w:wordWrap/>
        <w:overflowPunct/>
        <w:topLinePunct w:val="0"/>
        <w:bidi w:val="0"/>
        <w:snapToGri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五、政府采购预算情况。</w:t>
      </w:r>
    </w:p>
    <w:p>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_GB2312" w:eastAsia="仿宋_GB2312"/>
          <w:color w:val="auto"/>
          <w:sz w:val="32"/>
          <w:szCs w:val="24"/>
        </w:rPr>
      </w:pPr>
      <w:r>
        <w:rPr>
          <w:rFonts w:hint="eastAsia" w:ascii="仿宋_GB2312" w:hAnsi="仿宋_GB2312" w:eastAsia="仿宋_GB2312"/>
          <w:color w:val="auto"/>
          <w:sz w:val="32"/>
          <w:szCs w:val="24"/>
        </w:rPr>
        <w:t>我部门</w:t>
      </w:r>
      <w:r>
        <w:rPr>
          <w:rFonts w:ascii="仿宋_GB2312" w:hAnsi="仿宋_GB2312" w:eastAsia="仿宋_GB2312"/>
          <w:color w:val="auto"/>
          <w:sz w:val="32"/>
          <w:szCs w:val="24"/>
        </w:rPr>
        <w:t>2020</w:t>
      </w:r>
      <w:r>
        <w:rPr>
          <w:rFonts w:hint="eastAsia" w:ascii="仿宋_GB2312" w:hAnsi="仿宋_GB2312" w:eastAsia="仿宋_GB2312"/>
          <w:color w:val="auto"/>
          <w:sz w:val="32"/>
          <w:szCs w:val="24"/>
        </w:rPr>
        <w:t>年无政府采购预算</w:t>
      </w:r>
    </w:p>
    <w:p>
      <w:pPr>
        <w:keepNext w:val="0"/>
        <w:keepLines w:val="0"/>
        <w:pageBreakBefore w:val="0"/>
        <w:kinsoku/>
        <w:wordWrap/>
        <w:overflowPunct/>
        <w:topLinePunct w:val="0"/>
        <w:bidi w:val="0"/>
        <w:snapToGri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六、国有资产信息情况。</w:t>
      </w:r>
    </w:p>
    <w:p>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_GB2312" w:eastAsia="仿宋_GB2312"/>
          <w:color w:val="auto"/>
          <w:sz w:val="32"/>
          <w:szCs w:val="24"/>
        </w:rPr>
      </w:pPr>
      <w:r>
        <w:rPr>
          <w:rFonts w:hint="eastAsia" w:ascii="仿宋_GB2312" w:hAnsi="仿宋_GB2312" w:eastAsia="仿宋_GB2312"/>
          <w:color w:val="auto"/>
          <w:sz w:val="32"/>
          <w:szCs w:val="24"/>
        </w:rPr>
        <w:t>我部门</w:t>
      </w:r>
      <w:r>
        <w:rPr>
          <w:rFonts w:ascii="仿宋_GB2312" w:hAnsi="仿宋_GB2312" w:eastAsia="仿宋_GB2312"/>
          <w:color w:val="auto"/>
          <w:sz w:val="32"/>
          <w:szCs w:val="24"/>
        </w:rPr>
        <w:t>2019</w:t>
      </w:r>
      <w:r>
        <w:rPr>
          <w:rFonts w:hint="eastAsia" w:ascii="仿宋_GB2312" w:hAnsi="仿宋_GB2312" w:eastAsia="仿宋_GB2312"/>
          <w:color w:val="auto"/>
          <w:sz w:val="32"/>
          <w:szCs w:val="24"/>
        </w:rPr>
        <w:t>年末固定资产总值226.83万元，其中：车辆6台，价值83.9万元,其它固定资产数量，价值142.93元。我单位本年度无拟购置计划。</w:t>
      </w:r>
    </w:p>
    <w:tbl>
      <w:tblPr>
        <w:tblStyle w:val="5"/>
        <w:tblW w:w="9371" w:type="dxa"/>
        <w:tblInd w:w="93" w:type="dxa"/>
        <w:tblLayout w:type="fixed"/>
        <w:tblCellMar>
          <w:top w:w="0" w:type="dxa"/>
          <w:left w:w="108" w:type="dxa"/>
          <w:bottom w:w="0" w:type="dxa"/>
          <w:right w:w="108" w:type="dxa"/>
        </w:tblCellMar>
      </w:tblPr>
      <w:tblGrid>
        <w:gridCol w:w="3585"/>
        <w:gridCol w:w="2100"/>
        <w:gridCol w:w="3686"/>
      </w:tblGrid>
      <w:tr>
        <w:tblPrEx>
          <w:tblCellMar>
            <w:top w:w="0" w:type="dxa"/>
            <w:left w:w="108" w:type="dxa"/>
            <w:bottom w:w="0" w:type="dxa"/>
            <w:right w:w="108" w:type="dxa"/>
          </w:tblCellMar>
        </w:tblPrEx>
        <w:trPr>
          <w:trHeight w:val="705" w:hRule="atLeast"/>
        </w:trPr>
        <w:tc>
          <w:tcPr>
            <w:tcW w:w="9371" w:type="dxa"/>
            <w:gridSpan w:val="3"/>
            <w:tcBorders>
              <w:top w:val="nil"/>
              <w:left w:val="nil"/>
              <w:bottom w:val="nil"/>
              <w:right w:val="nil"/>
            </w:tcBorders>
            <w:vAlign w:val="center"/>
          </w:tcPr>
          <w:p>
            <w:pPr>
              <w:keepNext w:val="0"/>
              <w:keepLines w:val="0"/>
              <w:pageBreakBefore w:val="0"/>
              <w:kinsoku/>
              <w:wordWrap/>
              <w:overflowPunct/>
              <w:topLinePunct w:val="0"/>
              <w:bidi w:val="0"/>
              <w:snapToGrid/>
              <w:spacing w:line="580" w:lineRule="exact"/>
              <w:jc w:val="center"/>
              <w:textAlignment w:val="auto"/>
              <w:rPr>
                <w:rFonts w:ascii="宋体" w:cs="宋体"/>
                <w:bCs/>
                <w:color w:val="auto"/>
                <w:sz w:val="32"/>
                <w:szCs w:val="32"/>
              </w:rPr>
            </w:pPr>
            <w:r>
              <w:rPr>
                <w:rFonts w:hint="eastAsia" w:ascii="黑体" w:hAnsi="黑体" w:eastAsia="黑体" w:cs="黑体"/>
                <w:bCs/>
                <w:color w:val="auto"/>
                <w:sz w:val="32"/>
                <w:szCs w:val="32"/>
              </w:rPr>
              <w:t>望都县部门固定资产占用情况表</w:t>
            </w:r>
          </w:p>
        </w:tc>
      </w:tr>
      <w:tr>
        <w:tblPrEx>
          <w:tblCellMar>
            <w:top w:w="0" w:type="dxa"/>
            <w:left w:w="108" w:type="dxa"/>
            <w:bottom w:w="0" w:type="dxa"/>
            <w:right w:w="108" w:type="dxa"/>
          </w:tblCellMar>
        </w:tblPrEx>
        <w:trPr>
          <w:trHeight w:val="510" w:hRule="atLeast"/>
        </w:trPr>
        <w:tc>
          <w:tcPr>
            <w:tcW w:w="5685" w:type="dxa"/>
            <w:gridSpan w:val="2"/>
            <w:tcBorders>
              <w:top w:val="nil"/>
              <w:left w:val="nil"/>
              <w:bottom w:val="nil"/>
              <w:right w:val="nil"/>
            </w:tcBorders>
            <w:vAlign w:val="center"/>
          </w:tcPr>
          <w:p>
            <w:pPr>
              <w:keepNext w:val="0"/>
              <w:keepLines w:val="0"/>
              <w:pageBreakBefore w:val="0"/>
              <w:kinsoku/>
              <w:wordWrap/>
              <w:overflowPunct/>
              <w:topLinePunct w:val="0"/>
              <w:bidi w:val="0"/>
              <w:snapToGrid/>
              <w:spacing w:line="580" w:lineRule="exact"/>
              <w:textAlignment w:val="auto"/>
              <w:rPr>
                <w:rFonts w:ascii="宋体" w:cs="宋体"/>
                <w:color w:val="auto"/>
              </w:rPr>
            </w:pPr>
            <w:r>
              <w:rPr>
                <w:rFonts w:hint="eastAsia" w:ascii="宋体" w:hAnsi="宋体" w:cs="宋体"/>
                <w:color w:val="auto"/>
              </w:rPr>
              <w:t>编制部门：望都县纪律检查委员会</w:t>
            </w:r>
          </w:p>
        </w:tc>
        <w:tc>
          <w:tcPr>
            <w:tcW w:w="3686" w:type="dxa"/>
            <w:tcBorders>
              <w:top w:val="nil"/>
              <w:left w:val="nil"/>
              <w:bottom w:val="nil"/>
              <w:right w:val="nil"/>
            </w:tcBorders>
            <w:vAlign w:val="center"/>
          </w:tcPr>
          <w:p>
            <w:pPr>
              <w:keepNext w:val="0"/>
              <w:keepLines w:val="0"/>
              <w:pageBreakBefore w:val="0"/>
              <w:kinsoku/>
              <w:wordWrap/>
              <w:overflowPunct/>
              <w:topLinePunct w:val="0"/>
              <w:bidi w:val="0"/>
              <w:snapToGrid/>
              <w:spacing w:line="580" w:lineRule="exact"/>
              <w:textAlignment w:val="auto"/>
              <w:rPr>
                <w:rFonts w:ascii="宋体" w:cs="宋体"/>
                <w:color w:val="auto"/>
              </w:rPr>
            </w:pPr>
            <w:r>
              <w:rPr>
                <w:rFonts w:hint="eastAsia" w:ascii="宋体" w:hAnsi="宋体" w:cs="宋体"/>
                <w:color w:val="auto"/>
              </w:rPr>
              <w:t>截止时间：</w:t>
            </w:r>
            <w:r>
              <w:rPr>
                <w:rFonts w:ascii="宋体" w:hAnsi="宋体" w:cs="宋体"/>
                <w:color w:val="auto"/>
              </w:rPr>
              <w:t>2019</w:t>
            </w:r>
            <w:r>
              <w:rPr>
                <w:rFonts w:hint="eastAsia" w:ascii="宋体" w:hAnsi="宋体" w:cs="宋体"/>
                <w:color w:val="auto"/>
              </w:rPr>
              <w:t>年</w:t>
            </w:r>
            <w:r>
              <w:rPr>
                <w:rFonts w:ascii="宋体" w:hAnsi="宋体" w:cs="宋体"/>
                <w:color w:val="auto"/>
              </w:rPr>
              <w:t>12</w:t>
            </w:r>
            <w:r>
              <w:rPr>
                <w:rFonts w:hint="eastAsia" w:ascii="宋体" w:hAnsi="宋体" w:cs="宋体"/>
                <w:color w:val="auto"/>
              </w:rPr>
              <w:t>月</w:t>
            </w:r>
            <w:r>
              <w:rPr>
                <w:rFonts w:ascii="宋体" w:hAnsi="宋体" w:cs="宋体"/>
                <w:color w:val="auto"/>
              </w:rPr>
              <w:t>31</w:t>
            </w:r>
            <w:r>
              <w:rPr>
                <w:rFonts w:hint="eastAsia" w:ascii="宋体" w:hAnsi="宋体" w:cs="宋体"/>
                <w:color w:val="auto"/>
              </w:rPr>
              <w:t>日</w:t>
            </w:r>
            <w:r>
              <w:rPr>
                <w:rFonts w:ascii="宋体" w:hAnsi="宋体" w:cs="宋体"/>
                <w:color w:val="auto"/>
              </w:rPr>
              <w:t xml:space="preserve">  </w:t>
            </w:r>
          </w:p>
        </w:tc>
      </w:tr>
      <w:tr>
        <w:tblPrEx>
          <w:tblCellMar>
            <w:top w:w="0" w:type="dxa"/>
            <w:left w:w="108" w:type="dxa"/>
            <w:bottom w:w="0" w:type="dxa"/>
            <w:right w:w="108" w:type="dxa"/>
          </w:tblCellMar>
        </w:tblPrEx>
        <w:trPr>
          <w:trHeight w:val="645" w:hRule="atLeast"/>
        </w:trPr>
        <w:tc>
          <w:tcPr>
            <w:tcW w:w="3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jc w:val="center"/>
              <w:textAlignment w:val="auto"/>
              <w:rPr>
                <w:rFonts w:ascii="宋体" w:cs="宋体"/>
                <w:b/>
                <w:bCs/>
                <w:color w:val="auto"/>
              </w:rPr>
            </w:pPr>
            <w:r>
              <w:rPr>
                <w:rFonts w:hint="eastAsia" w:ascii="宋体" w:hAnsi="宋体" w:cs="宋体"/>
                <w:b/>
                <w:bCs/>
                <w:color w:val="auto"/>
              </w:rPr>
              <w:t>项</w:t>
            </w:r>
            <w:r>
              <w:rPr>
                <w:rFonts w:ascii="宋体" w:hAnsi="宋体" w:cs="宋体"/>
                <w:b/>
                <w:bCs/>
                <w:color w:val="auto"/>
              </w:rPr>
              <w:t xml:space="preserve">   </w:t>
            </w:r>
            <w:r>
              <w:rPr>
                <w:rFonts w:hint="eastAsia" w:ascii="宋体" w:hAnsi="宋体" w:cs="宋体"/>
                <w:b/>
                <w:bCs/>
                <w:color w:val="auto"/>
              </w:rPr>
              <w:t>目</w:t>
            </w:r>
          </w:p>
        </w:tc>
        <w:tc>
          <w:tcPr>
            <w:tcW w:w="21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jc w:val="center"/>
              <w:textAlignment w:val="auto"/>
              <w:rPr>
                <w:rFonts w:ascii="宋体" w:cs="宋体"/>
                <w:b/>
                <w:bCs/>
                <w:color w:val="auto"/>
              </w:rPr>
            </w:pPr>
            <w:r>
              <w:rPr>
                <w:rFonts w:hint="eastAsia" w:ascii="宋体" w:hAnsi="宋体" w:cs="宋体"/>
                <w:b/>
                <w:bCs/>
                <w:color w:val="auto"/>
              </w:rPr>
              <w:t>数量</w:t>
            </w:r>
          </w:p>
        </w:tc>
        <w:tc>
          <w:tcPr>
            <w:tcW w:w="368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jc w:val="center"/>
              <w:textAlignment w:val="auto"/>
              <w:rPr>
                <w:rFonts w:ascii="宋体" w:cs="宋体"/>
                <w:b/>
                <w:bCs/>
                <w:color w:val="auto"/>
              </w:rPr>
            </w:pPr>
            <w:r>
              <w:rPr>
                <w:rFonts w:hint="eastAsia" w:ascii="宋体" w:hAnsi="宋体" w:cs="宋体"/>
                <w:b/>
                <w:bCs/>
                <w:color w:val="auto"/>
              </w:rPr>
              <w:t>价值（金额单位：万元）</w:t>
            </w:r>
          </w:p>
        </w:tc>
      </w:tr>
      <w:tr>
        <w:tblPrEx>
          <w:tblCellMar>
            <w:top w:w="0" w:type="dxa"/>
            <w:left w:w="108" w:type="dxa"/>
            <w:bottom w:w="0" w:type="dxa"/>
            <w:right w:w="108" w:type="dxa"/>
          </w:tblCellMar>
        </w:tblPrEx>
        <w:trPr>
          <w:trHeight w:val="467" w:hRule="atLeast"/>
        </w:trPr>
        <w:tc>
          <w:tcPr>
            <w:tcW w:w="3585"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jc w:val="center"/>
              <w:textAlignment w:val="auto"/>
              <w:rPr>
                <w:rFonts w:ascii="宋体" w:cs="宋体"/>
                <w:color w:val="auto"/>
              </w:rPr>
            </w:pPr>
            <w:r>
              <w:rPr>
                <w:rFonts w:hint="eastAsia" w:ascii="宋体" w:hAnsi="宋体" w:cs="宋体"/>
                <w:color w:val="auto"/>
              </w:rPr>
              <w:t>资产总额</w:t>
            </w:r>
          </w:p>
        </w:tc>
        <w:tc>
          <w:tcPr>
            <w:tcW w:w="210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jc w:val="center"/>
              <w:textAlignment w:val="auto"/>
              <w:rPr>
                <w:rFonts w:ascii="宋体" w:cs="宋体"/>
                <w:color w:val="auto"/>
              </w:rPr>
            </w:pPr>
            <w:r>
              <w:rPr>
                <w:rFonts w:ascii="宋体" w:hAnsi="宋体" w:cs="宋体"/>
                <w:color w:val="auto"/>
              </w:rPr>
              <w:t>——</w:t>
            </w:r>
          </w:p>
        </w:tc>
        <w:tc>
          <w:tcPr>
            <w:tcW w:w="368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jc w:val="center"/>
              <w:textAlignment w:val="auto"/>
              <w:rPr>
                <w:rFonts w:ascii="宋体" w:cs="宋体"/>
                <w:color w:val="auto"/>
              </w:rPr>
            </w:pPr>
            <w:r>
              <w:rPr>
                <w:rFonts w:hint="eastAsia" w:ascii="宋体" w:cs="宋体"/>
                <w:color w:val="auto"/>
              </w:rPr>
              <w:t>226.83</w:t>
            </w:r>
          </w:p>
        </w:tc>
      </w:tr>
      <w:tr>
        <w:tblPrEx>
          <w:tblCellMar>
            <w:top w:w="0" w:type="dxa"/>
            <w:left w:w="108" w:type="dxa"/>
            <w:bottom w:w="0" w:type="dxa"/>
            <w:right w:w="108" w:type="dxa"/>
          </w:tblCellMar>
        </w:tblPrEx>
        <w:trPr>
          <w:trHeight w:val="431" w:hRule="atLeast"/>
        </w:trPr>
        <w:tc>
          <w:tcPr>
            <w:tcW w:w="3585"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textAlignment w:val="auto"/>
              <w:rPr>
                <w:rFonts w:ascii="宋体" w:cs="宋体"/>
                <w:color w:val="auto"/>
              </w:rPr>
            </w:pPr>
            <w:r>
              <w:rPr>
                <w:rFonts w:ascii="宋体" w:hAnsi="宋体" w:cs="宋体"/>
                <w:color w:val="auto"/>
              </w:rPr>
              <w:t>1</w:t>
            </w:r>
            <w:r>
              <w:rPr>
                <w:rFonts w:hint="eastAsia" w:ascii="宋体" w:hAnsi="宋体" w:cs="宋体"/>
                <w:color w:val="auto"/>
              </w:rPr>
              <w:t>、房屋（平方米）</w:t>
            </w:r>
          </w:p>
        </w:tc>
        <w:tc>
          <w:tcPr>
            <w:tcW w:w="210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jc w:val="center"/>
              <w:textAlignment w:val="auto"/>
              <w:rPr>
                <w:rFonts w:ascii="宋体" w:cs="宋体"/>
                <w:color w:val="auto"/>
              </w:rPr>
            </w:pPr>
          </w:p>
        </w:tc>
        <w:tc>
          <w:tcPr>
            <w:tcW w:w="368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jc w:val="center"/>
              <w:textAlignment w:val="auto"/>
              <w:rPr>
                <w:rFonts w:ascii="宋体" w:cs="宋体"/>
                <w:color w:val="auto"/>
              </w:rPr>
            </w:pPr>
          </w:p>
        </w:tc>
      </w:tr>
      <w:tr>
        <w:tblPrEx>
          <w:tblCellMar>
            <w:top w:w="0" w:type="dxa"/>
            <w:left w:w="108" w:type="dxa"/>
            <w:bottom w:w="0" w:type="dxa"/>
            <w:right w:w="108" w:type="dxa"/>
          </w:tblCellMar>
        </w:tblPrEx>
        <w:trPr>
          <w:trHeight w:val="409" w:hRule="atLeast"/>
        </w:trPr>
        <w:tc>
          <w:tcPr>
            <w:tcW w:w="3585"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textAlignment w:val="auto"/>
              <w:rPr>
                <w:rFonts w:ascii="宋体" w:cs="宋体"/>
                <w:color w:val="auto"/>
              </w:rPr>
            </w:pPr>
            <w:r>
              <w:rPr>
                <w:rFonts w:ascii="宋体" w:hAnsi="宋体" w:cs="宋体"/>
                <w:color w:val="auto"/>
              </w:rPr>
              <w:t xml:space="preserve">  </w:t>
            </w:r>
            <w:r>
              <w:rPr>
                <w:rFonts w:hint="eastAsia" w:ascii="宋体" w:hAnsi="宋体" w:cs="宋体"/>
                <w:color w:val="auto"/>
              </w:rPr>
              <w:t>其中：办公用房（平方米）</w:t>
            </w:r>
          </w:p>
        </w:tc>
        <w:tc>
          <w:tcPr>
            <w:tcW w:w="210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jc w:val="center"/>
              <w:textAlignment w:val="auto"/>
              <w:rPr>
                <w:rFonts w:ascii="宋体" w:cs="宋体"/>
                <w:color w:val="auto"/>
              </w:rPr>
            </w:pPr>
          </w:p>
        </w:tc>
        <w:tc>
          <w:tcPr>
            <w:tcW w:w="368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jc w:val="center"/>
              <w:textAlignment w:val="auto"/>
              <w:rPr>
                <w:rFonts w:ascii="宋体" w:cs="宋体"/>
                <w:color w:val="auto"/>
              </w:rPr>
            </w:pPr>
          </w:p>
        </w:tc>
      </w:tr>
      <w:tr>
        <w:tblPrEx>
          <w:tblCellMar>
            <w:top w:w="0" w:type="dxa"/>
            <w:left w:w="108" w:type="dxa"/>
            <w:bottom w:w="0" w:type="dxa"/>
            <w:right w:w="108" w:type="dxa"/>
          </w:tblCellMar>
        </w:tblPrEx>
        <w:trPr>
          <w:trHeight w:val="417" w:hRule="atLeast"/>
        </w:trPr>
        <w:tc>
          <w:tcPr>
            <w:tcW w:w="3585"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textAlignment w:val="auto"/>
              <w:rPr>
                <w:rFonts w:ascii="宋体" w:cs="宋体"/>
                <w:color w:val="auto"/>
              </w:rPr>
            </w:pPr>
            <w:r>
              <w:rPr>
                <w:rFonts w:ascii="宋体" w:hAnsi="宋体" w:cs="宋体"/>
                <w:color w:val="auto"/>
              </w:rPr>
              <w:t>2</w:t>
            </w:r>
            <w:r>
              <w:rPr>
                <w:rFonts w:hint="eastAsia" w:ascii="宋体" w:hAnsi="宋体" w:cs="宋体"/>
                <w:color w:val="auto"/>
              </w:rPr>
              <w:t>、车辆（台、辆）</w:t>
            </w:r>
          </w:p>
        </w:tc>
        <w:tc>
          <w:tcPr>
            <w:tcW w:w="210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jc w:val="center"/>
              <w:textAlignment w:val="auto"/>
              <w:rPr>
                <w:rFonts w:ascii="宋体" w:cs="宋体"/>
                <w:color w:val="auto"/>
              </w:rPr>
            </w:pPr>
            <w:r>
              <w:rPr>
                <w:rFonts w:hint="eastAsia" w:ascii="宋体" w:cs="宋体"/>
                <w:color w:val="auto"/>
              </w:rPr>
              <w:t>6</w:t>
            </w:r>
          </w:p>
        </w:tc>
        <w:tc>
          <w:tcPr>
            <w:tcW w:w="368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jc w:val="center"/>
              <w:textAlignment w:val="auto"/>
              <w:rPr>
                <w:rFonts w:ascii="宋体" w:cs="宋体"/>
                <w:color w:val="auto"/>
              </w:rPr>
            </w:pPr>
            <w:r>
              <w:rPr>
                <w:rFonts w:hint="eastAsia" w:ascii="宋体" w:cs="宋体"/>
                <w:color w:val="auto"/>
              </w:rPr>
              <w:t>83.9</w:t>
            </w:r>
          </w:p>
        </w:tc>
      </w:tr>
      <w:tr>
        <w:tblPrEx>
          <w:tblCellMar>
            <w:top w:w="0" w:type="dxa"/>
            <w:left w:w="108" w:type="dxa"/>
            <w:bottom w:w="0" w:type="dxa"/>
            <w:right w:w="108" w:type="dxa"/>
          </w:tblCellMar>
        </w:tblPrEx>
        <w:trPr>
          <w:trHeight w:val="562" w:hRule="atLeast"/>
        </w:trPr>
        <w:tc>
          <w:tcPr>
            <w:tcW w:w="3585"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textAlignment w:val="auto"/>
              <w:rPr>
                <w:rFonts w:ascii="宋体" w:cs="宋体"/>
                <w:color w:val="auto"/>
              </w:rPr>
            </w:pPr>
            <w:r>
              <w:rPr>
                <w:rFonts w:ascii="宋体" w:hAnsi="宋体" w:cs="宋体"/>
                <w:color w:val="auto"/>
              </w:rPr>
              <w:t>3</w:t>
            </w:r>
            <w:r>
              <w:rPr>
                <w:rFonts w:hint="eastAsia" w:ascii="宋体" w:hAnsi="宋体" w:cs="宋体"/>
                <w:color w:val="auto"/>
              </w:rPr>
              <w:t>、单价在</w:t>
            </w:r>
            <w:r>
              <w:rPr>
                <w:rFonts w:ascii="宋体" w:hAnsi="宋体" w:cs="宋体"/>
                <w:color w:val="auto"/>
              </w:rPr>
              <w:t>20</w:t>
            </w:r>
            <w:r>
              <w:rPr>
                <w:rFonts w:hint="eastAsia" w:ascii="宋体" w:hAnsi="宋体" w:cs="宋体"/>
                <w:color w:val="auto"/>
              </w:rPr>
              <w:t>万元以上设备</w:t>
            </w:r>
          </w:p>
        </w:tc>
        <w:tc>
          <w:tcPr>
            <w:tcW w:w="210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jc w:val="center"/>
              <w:textAlignment w:val="auto"/>
              <w:rPr>
                <w:rFonts w:ascii="宋体" w:cs="宋体"/>
                <w:color w:val="auto"/>
              </w:rPr>
            </w:pPr>
            <w:r>
              <w:rPr>
                <w:rFonts w:ascii="宋体" w:hAnsi="宋体" w:cs="宋体"/>
                <w:color w:val="auto"/>
              </w:rPr>
              <w:t>——</w:t>
            </w:r>
          </w:p>
        </w:tc>
        <w:tc>
          <w:tcPr>
            <w:tcW w:w="368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jc w:val="center"/>
              <w:textAlignment w:val="auto"/>
              <w:rPr>
                <w:rFonts w:ascii="宋体" w:cs="宋体"/>
                <w:color w:val="auto"/>
              </w:rPr>
            </w:pPr>
          </w:p>
        </w:tc>
      </w:tr>
      <w:tr>
        <w:tblPrEx>
          <w:tblCellMar>
            <w:top w:w="0" w:type="dxa"/>
            <w:left w:w="108" w:type="dxa"/>
            <w:bottom w:w="0" w:type="dxa"/>
            <w:right w:w="108" w:type="dxa"/>
          </w:tblCellMar>
        </w:tblPrEx>
        <w:trPr>
          <w:trHeight w:val="414" w:hRule="atLeast"/>
        </w:trPr>
        <w:tc>
          <w:tcPr>
            <w:tcW w:w="3585"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textAlignment w:val="auto"/>
              <w:rPr>
                <w:rFonts w:ascii="宋体" w:cs="宋体"/>
                <w:color w:val="auto"/>
              </w:rPr>
            </w:pPr>
            <w:r>
              <w:rPr>
                <w:rFonts w:ascii="宋体" w:hAnsi="宋体" w:cs="宋体"/>
                <w:color w:val="auto"/>
              </w:rPr>
              <w:t>4</w:t>
            </w:r>
            <w:r>
              <w:rPr>
                <w:rFonts w:hint="eastAsia" w:ascii="宋体" w:hAnsi="宋体" w:cs="宋体"/>
                <w:color w:val="auto"/>
              </w:rPr>
              <w:t>、其他固定资产</w:t>
            </w:r>
          </w:p>
        </w:tc>
        <w:tc>
          <w:tcPr>
            <w:tcW w:w="210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jc w:val="center"/>
              <w:textAlignment w:val="auto"/>
              <w:rPr>
                <w:rFonts w:ascii="宋体" w:cs="宋体"/>
                <w:color w:val="auto"/>
              </w:rPr>
            </w:pPr>
            <w:r>
              <w:rPr>
                <w:rFonts w:ascii="宋体" w:hAnsi="宋体" w:cs="宋体"/>
                <w:color w:val="auto"/>
              </w:rPr>
              <w:t>——</w:t>
            </w:r>
          </w:p>
        </w:tc>
        <w:tc>
          <w:tcPr>
            <w:tcW w:w="368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80" w:lineRule="exact"/>
              <w:jc w:val="center"/>
              <w:textAlignment w:val="auto"/>
              <w:rPr>
                <w:rFonts w:ascii="宋体" w:cs="宋体"/>
                <w:color w:val="auto"/>
              </w:rPr>
            </w:pPr>
            <w:r>
              <w:rPr>
                <w:rFonts w:hint="eastAsia" w:ascii="宋体" w:cs="宋体"/>
                <w:color w:val="auto"/>
              </w:rPr>
              <w:t>142.93</w:t>
            </w:r>
          </w:p>
        </w:tc>
      </w:tr>
    </w:tbl>
    <w:p>
      <w:pPr>
        <w:keepNext w:val="0"/>
        <w:keepLines w:val="0"/>
        <w:pageBreakBefore w:val="0"/>
        <w:tabs>
          <w:tab w:val="left" w:pos="916"/>
        </w:tabs>
        <w:kinsoku/>
        <w:wordWrap/>
        <w:overflowPunct/>
        <w:topLinePunct w:val="0"/>
        <w:bidi w:val="0"/>
        <w:snapToGrid/>
        <w:spacing w:line="580" w:lineRule="exact"/>
        <w:ind w:firstLine="675" w:firstLineChars="211"/>
        <w:textAlignment w:val="auto"/>
        <w:rPr>
          <w:rFonts w:ascii="黑体" w:hAnsi="黑体" w:eastAsia="黑体"/>
          <w:bCs/>
          <w:color w:val="auto"/>
          <w:sz w:val="32"/>
          <w:szCs w:val="32"/>
          <w:shd w:val="clear" w:color="auto" w:fill="FFFFFF"/>
        </w:rPr>
      </w:pPr>
      <w:r>
        <w:rPr>
          <w:rFonts w:hint="eastAsia" w:ascii="黑体" w:hAnsi="黑体" w:eastAsia="黑体"/>
          <w:bCs/>
          <w:color w:val="auto"/>
          <w:sz w:val="32"/>
          <w:szCs w:val="32"/>
          <w:shd w:val="clear" w:color="auto" w:fill="FFFFFF"/>
        </w:rPr>
        <w:t>七、对相关专业性较强的名词解释</w:t>
      </w:r>
      <w:r>
        <w:rPr>
          <w:rFonts w:ascii="黑体" w:hAnsi="黑体" w:eastAsia="黑体"/>
          <w:bCs/>
          <w:color w:val="auto"/>
          <w:sz w:val="32"/>
          <w:szCs w:val="32"/>
          <w:shd w:val="clear" w:color="auto" w:fill="FFFFFF"/>
        </w:rPr>
        <w:t>:</w:t>
      </w:r>
    </w:p>
    <w:p>
      <w:pPr>
        <w:keepNext w:val="0"/>
        <w:keepLines w:val="0"/>
        <w:pageBreakBefore w:val="0"/>
        <w:shd w:val="clear" w:color="auto" w:fill="FFFFFF"/>
        <w:kinsoku/>
        <w:wordWrap/>
        <w:overflowPunct/>
        <w:topLinePunct w:val="0"/>
        <w:bidi w:val="0"/>
        <w:snapToGrid/>
        <w:spacing w:line="580" w:lineRule="exact"/>
        <w:ind w:firstLine="640" w:firstLineChars="200"/>
        <w:textAlignment w:val="auto"/>
        <w:rPr>
          <w:rFonts w:ascii="仿宋_GB2312" w:hAnsi="宋体" w:eastAsia="仿宋_GB2312" w:cs="宋体"/>
          <w:b w:val="0"/>
          <w:bCs w:val="0"/>
          <w:color w:val="auto"/>
          <w:sz w:val="32"/>
          <w:szCs w:val="32"/>
        </w:rPr>
      </w:pPr>
      <w:r>
        <w:rPr>
          <w:rFonts w:ascii="仿宋_GB2312" w:hAnsi="Times New Roman" w:eastAsia="仿宋_GB2312"/>
          <w:b w:val="0"/>
          <w:bCs w:val="0"/>
          <w:color w:val="auto"/>
          <w:sz w:val="32"/>
          <w:szCs w:val="32"/>
        </w:rPr>
        <w:t>1</w:t>
      </w:r>
      <w:r>
        <w:rPr>
          <w:rFonts w:hint="eastAsia" w:ascii="仿宋_GB2312" w:hAnsi="Times New Roman" w:eastAsia="仿宋_GB2312"/>
          <w:b w:val="0"/>
          <w:bCs w:val="0"/>
          <w:color w:val="auto"/>
          <w:sz w:val="32"/>
          <w:szCs w:val="32"/>
        </w:rPr>
        <w:t>、</w:t>
      </w:r>
      <w:r>
        <w:rPr>
          <w:rFonts w:hint="eastAsia" w:ascii="仿宋_GB2312" w:hAnsi="宋体" w:eastAsia="仿宋_GB2312" w:cs="宋体"/>
          <w:b w:val="0"/>
          <w:bCs w:val="0"/>
          <w:color w:val="auto"/>
          <w:sz w:val="32"/>
          <w:szCs w:val="32"/>
        </w:rPr>
        <w:t>一般公共预算拨款收入：指财政当年拨付的资金。</w:t>
      </w:r>
    </w:p>
    <w:p>
      <w:pPr>
        <w:keepNext w:val="0"/>
        <w:keepLines w:val="0"/>
        <w:pageBreakBefore w:val="0"/>
        <w:shd w:val="clear" w:color="auto" w:fill="FFFFFF"/>
        <w:kinsoku/>
        <w:wordWrap/>
        <w:overflowPunct/>
        <w:topLinePunct w:val="0"/>
        <w:bidi w:val="0"/>
        <w:snapToGrid/>
        <w:spacing w:line="580" w:lineRule="exact"/>
        <w:ind w:firstLine="640" w:firstLineChars="200"/>
        <w:textAlignment w:val="auto"/>
        <w:rPr>
          <w:rFonts w:ascii="仿宋_GB2312" w:hAnsi="宋体" w:eastAsia="仿宋_GB2312" w:cs="宋体"/>
          <w:b w:val="0"/>
          <w:bCs w:val="0"/>
          <w:color w:val="auto"/>
          <w:sz w:val="32"/>
          <w:szCs w:val="32"/>
        </w:rPr>
      </w:pPr>
      <w:r>
        <w:rPr>
          <w:rFonts w:ascii="仿宋_GB2312" w:hAnsi="Times New Roman" w:eastAsia="仿宋_GB2312"/>
          <w:b w:val="0"/>
          <w:bCs w:val="0"/>
          <w:color w:val="auto"/>
          <w:sz w:val="32"/>
          <w:szCs w:val="32"/>
        </w:rPr>
        <w:t>2</w:t>
      </w:r>
      <w:r>
        <w:rPr>
          <w:rFonts w:hint="eastAsia" w:ascii="仿宋_GB2312" w:hAnsi="Times New Roman" w:eastAsia="仿宋_GB2312"/>
          <w:b w:val="0"/>
          <w:bCs w:val="0"/>
          <w:color w:val="auto"/>
          <w:sz w:val="32"/>
          <w:szCs w:val="32"/>
        </w:rPr>
        <w:t>、</w:t>
      </w:r>
      <w:r>
        <w:rPr>
          <w:rFonts w:hint="eastAsia" w:ascii="仿宋_GB2312" w:hAnsi="宋体" w:eastAsia="仿宋_GB2312" w:cs="宋体"/>
          <w:b w:val="0"/>
          <w:bCs w:val="0"/>
          <w:color w:val="auto"/>
          <w:sz w:val="32"/>
          <w:szCs w:val="32"/>
        </w:rPr>
        <w:t>事业收入：指事业单位开展专业业务活动及辅助活动所取得的收入。</w:t>
      </w:r>
    </w:p>
    <w:p>
      <w:pPr>
        <w:keepNext w:val="0"/>
        <w:keepLines w:val="0"/>
        <w:pageBreakBefore w:val="0"/>
        <w:shd w:val="clear" w:color="auto" w:fill="FFFFFF"/>
        <w:kinsoku/>
        <w:wordWrap/>
        <w:overflowPunct/>
        <w:topLinePunct w:val="0"/>
        <w:bidi w:val="0"/>
        <w:snapToGrid/>
        <w:spacing w:line="580" w:lineRule="exact"/>
        <w:ind w:firstLine="640" w:firstLineChars="200"/>
        <w:textAlignment w:val="auto"/>
        <w:rPr>
          <w:rFonts w:ascii="仿宋_GB2312" w:hAnsi="宋体" w:eastAsia="仿宋_GB2312" w:cs="宋体"/>
          <w:b w:val="0"/>
          <w:bCs w:val="0"/>
          <w:color w:val="auto"/>
          <w:sz w:val="32"/>
          <w:szCs w:val="32"/>
        </w:rPr>
      </w:pPr>
      <w:r>
        <w:rPr>
          <w:rFonts w:ascii="仿宋_GB2312" w:hAnsi="Times New Roman" w:eastAsia="仿宋_GB2312"/>
          <w:b w:val="0"/>
          <w:bCs w:val="0"/>
          <w:color w:val="auto"/>
          <w:sz w:val="32"/>
          <w:szCs w:val="32"/>
        </w:rPr>
        <w:t>3</w:t>
      </w:r>
      <w:r>
        <w:rPr>
          <w:rFonts w:hint="eastAsia" w:ascii="仿宋_GB2312" w:hAnsi="宋体" w:eastAsia="仿宋_GB2312" w:cs="宋体"/>
          <w:b w:val="0"/>
          <w:bCs w:val="0"/>
          <w:color w:val="auto"/>
          <w:sz w:val="32"/>
          <w:szCs w:val="32"/>
        </w:rPr>
        <w:t>、其他收入：指上述“财政拨款收入”、“事业收入”等以外的收入。</w:t>
      </w:r>
    </w:p>
    <w:p>
      <w:pPr>
        <w:keepNext w:val="0"/>
        <w:keepLines w:val="0"/>
        <w:pageBreakBefore w:val="0"/>
        <w:shd w:val="clear" w:color="auto" w:fill="FFFFFF"/>
        <w:kinsoku/>
        <w:wordWrap/>
        <w:overflowPunct/>
        <w:topLinePunct w:val="0"/>
        <w:bidi w:val="0"/>
        <w:snapToGrid/>
        <w:spacing w:line="580" w:lineRule="exact"/>
        <w:ind w:firstLine="640" w:firstLineChars="200"/>
        <w:textAlignment w:val="auto"/>
        <w:rPr>
          <w:rFonts w:ascii="仿宋_GB2312" w:hAnsi="宋体" w:eastAsia="仿宋_GB2312" w:cs="宋体"/>
          <w:b w:val="0"/>
          <w:bCs w:val="0"/>
          <w:color w:val="auto"/>
          <w:sz w:val="32"/>
          <w:szCs w:val="32"/>
        </w:rPr>
      </w:pPr>
      <w:r>
        <w:rPr>
          <w:rFonts w:ascii="仿宋_GB2312" w:hAnsi="Times New Roman" w:eastAsia="仿宋_GB2312"/>
          <w:b w:val="0"/>
          <w:bCs w:val="0"/>
          <w:color w:val="auto"/>
          <w:sz w:val="32"/>
          <w:szCs w:val="32"/>
        </w:rPr>
        <w:t>4</w:t>
      </w:r>
      <w:r>
        <w:rPr>
          <w:rFonts w:hint="eastAsia" w:ascii="仿宋_GB2312" w:hAnsi="宋体" w:eastAsia="仿宋_GB2312" w:cs="宋体"/>
          <w:b w:val="0"/>
          <w:bCs w:val="0"/>
          <w:color w:val="auto"/>
          <w:sz w:val="32"/>
          <w:szCs w:val="32"/>
        </w:rPr>
        <w:t>、基本支出：指为保障机构正常运转、完成日常工作任务而发生的人员支出和公用支出。</w:t>
      </w:r>
    </w:p>
    <w:p>
      <w:pPr>
        <w:keepNext w:val="0"/>
        <w:keepLines w:val="0"/>
        <w:pageBreakBefore w:val="0"/>
        <w:shd w:val="clear" w:color="auto" w:fill="FFFFFF"/>
        <w:kinsoku/>
        <w:wordWrap/>
        <w:overflowPunct/>
        <w:topLinePunct w:val="0"/>
        <w:bidi w:val="0"/>
        <w:snapToGrid/>
        <w:spacing w:line="580" w:lineRule="exact"/>
        <w:ind w:firstLine="640" w:firstLineChars="200"/>
        <w:textAlignment w:val="auto"/>
        <w:rPr>
          <w:rFonts w:ascii="仿宋_GB2312" w:hAnsi="宋体" w:eastAsia="仿宋_GB2312" w:cs="宋体"/>
          <w:b w:val="0"/>
          <w:bCs w:val="0"/>
          <w:color w:val="auto"/>
          <w:sz w:val="32"/>
          <w:szCs w:val="32"/>
        </w:rPr>
      </w:pPr>
      <w:r>
        <w:rPr>
          <w:rFonts w:ascii="仿宋_GB2312" w:hAnsi="Times New Roman" w:eastAsia="仿宋_GB2312"/>
          <w:b w:val="0"/>
          <w:bCs w:val="0"/>
          <w:color w:val="auto"/>
          <w:sz w:val="32"/>
          <w:szCs w:val="32"/>
        </w:rPr>
        <w:t>5</w:t>
      </w:r>
      <w:r>
        <w:rPr>
          <w:rFonts w:hint="eastAsia" w:ascii="仿宋_GB2312" w:hAnsi="宋体" w:eastAsia="仿宋_GB2312" w:cs="宋体"/>
          <w:b w:val="0"/>
          <w:bCs w:val="0"/>
          <w:color w:val="auto"/>
          <w:sz w:val="32"/>
          <w:szCs w:val="32"/>
        </w:rPr>
        <w:t>、项目支出：指在基本支出之外为完成特定行政任务和事业发展目标所发生的支出。</w:t>
      </w:r>
    </w:p>
    <w:p>
      <w:pPr>
        <w:keepNext w:val="0"/>
        <w:keepLines w:val="0"/>
        <w:pageBreakBefore w:val="0"/>
        <w:shd w:val="clear" w:color="auto" w:fill="FFFFFF"/>
        <w:kinsoku/>
        <w:wordWrap/>
        <w:overflowPunct/>
        <w:topLinePunct w:val="0"/>
        <w:bidi w:val="0"/>
        <w:snapToGrid/>
        <w:spacing w:line="580" w:lineRule="exact"/>
        <w:ind w:firstLine="640" w:firstLineChars="200"/>
        <w:textAlignment w:val="auto"/>
        <w:rPr>
          <w:rFonts w:ascii="仿宋_GB2312" w:hAnsi="宋体" w:eastAsia="仿宋_GB2312" w:cs="宋体"/>
          <w:b w:val="0"/>
          <w:bCs w:val="0"/>
          <w:color w:val="auto"/>
          <w:sz w:val="32"/>
          <w:szCs w:val="32"/>
        </w:rPr>
      </w:pPr>
      <w:r>
        <w:rPr>
          <w:rFonts w:ascii="仿宋_GB2312" w:hAnsi="Times New Roman" w:eastAsia="仿宋_GB2312"/>
          <w:b w:val="0"/>
          <w:bCs w:val="0"/>
          <w:color w:val="auto"/>
          <w:sz w:val="32"/>
          <w:szCs w:val="32"/>
        </w:rPr>
        <w:t>6</w:t>
      </w:r>
      <w:r>
        <w:rPr>
          <w:rFonts w:hint="eastAsia" w:ascii="仿宋_GB2312" w:hAnsi="宋体" w:eastAsia="仿宋_GB2312" w:cs="宋体"/>
          <w:b w:val="0"/>
          <w:bCs w:val="0"/>
          <w:color w:val="auto"/>
          <w:sz w:val="32"/>
          <w:szCs w:val="32"/>
        </w:rPr>
        <w:t>、“三公”经费：包括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shd w:val="clear" w:color="auto" w:fill="FFFFFF"/>
        <w:kinsoku/>
        <w:wordWrap/>
        <w:overflowPunct/>
        <w:topLinePunct w:val="0"/>
        <w:bidi w:val="0"/>
        <w:snapToGrid/>
        <w:spacing w:line="580" w:lineRule="exact"/>
        <w:ind w:firstLine="640" w:firstLineChars="200"/>
        <w:textAlignment w:val="auto"/>
        <w:rPr>
          <w:rFonts w:ascii="仿宋_GB2312" w:hAnsi="宋体" w:eastAsia="仿宋_GB2312" w:cs="宋体"/>
          <w:b w:val="0"/>
          <w:bCs w:val="0"/>
          <w:color w:val="auto"/>
          <w:sz w:val="32"/>
          <w:szCs w:val="32"/>
        </w:rPr>
      </w:pPr>
      <w:r>
        <w:rPr>
          <w:rFonts w:ascii="仿宋_GB2312" w:hAnsi="华文仿宋" w:eastAsia="仿宋_GB2312"/>
          <w:b w:val="0"/>
          <w:bCs w:val="0"/>
          <w:color w:val="auto"/>
          <w:sz w:val="32"/>
          <w:szCs w:val="32"/>
        </w:rPr>
        <w:t>7</w:t>
      </w:r>
      <w:r>
        <w:rPr>
          <w:rFonts w:hint="eastAsia" w:ascii="仿宋_GB2312" w:hAnsi="华文仿宋" w:eastAsia="仿宋_GB2312"/>
          <w:b w:val="0"/>
          <w:bCs w:val="0"/>
          <w:color w:val="auto"/>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tabs>
          <w:tab w:val="left" w:pos="916"/>
        </w:tabs>
        <w:kinsoku/>
        <w:wordWrap/>
        <w:overflowPunct/>
        <w:topLinePunct w:val="0"/>
        <w:bidi w:val="0"/>
        <w:snapToGrid/>
        <w:spacing w:line="580" w:lineRule="exact"/>
        <w:ind w:firstLine="675" w:firstLineChars="211"/>
        <w:textAlignment w:val="auto"/>
        <w:rPr>
          <w:rFonts w:hint="eastAsia" w:ascii="黑体" w:hAnsi="黑体" w:eastAsia="黑体"/>
          <w:bCs/>
          <w:color w:val="auto"/>
          <w:sz w:val="32"/>
          <w:szCs w:val="32"/>
          <w:shd w:val="clear" w:color="auto" w:fill="FFFFFF"/>
        </w:rPr>
      </w:pPr>
      <w:r>
        <w:rPr>
          <w:rFonts w:hint="eastAsia" w:ascii="黑体" w:hAnsi="黑体" w:eastAsia="黑体"/>
          <w:bCs/>
          <w:color w:val="auto"/>
          <w:sz w:val="32"/>
          <w:szCs w:val="32"/>
          <w:shd w:val="clear" w:color="auto" w:fill="FFFFFF"/>
        </w:rPr>
        <w:t>八、其他需说明的事项</w:t>
      </w:r>
    </w:p>
    <w:p>
      <w:pPr>
        <w:keepNext w:val="0"/>
        <w:keepLines w:val="0"/>
        <w:pageBreakBefore w:val="0"/>
        <w:tabs>
          <w:tab w:val="left" w:pos="916"/>
        </w:tabs>
        <w:kinsoku/>
        <w:wordWrap/>
        <w:overflowPunct/>
        <w:topLinePunct w:val="0"/>
        <w:bidi w:val="0"/>
        <w:snapToGrid/>
        <w:spacing w:line="580" w:lineRule="exact"/>
        <w:ind w:firstLine="675" w:firstLineChars="211"/>
        <w:textAlignment w:val="auto"/>
        <w:rPr>
          <w:rFonts w:ascii="仿宋_GB2312" w:hAnsi="宋体" w:eastAsia="仿宋_GB2312" w:cs="宋体"/>
          <w:color w:val="auto"/>
          <w:sz w:val="32"/>
          <w:szCs w:val="32"/>
        </w:rPr>
      </w:pPr>
      <w:r>
        <w:rPr>
          <w:rFonts w:hint="eastAsia" w:ascii="仿宋_GB2312" w:hAnsi="宋体" w:eastAsia="仿宋_GB2312" w:cs="宋体"/>
          <w:color w:val="auto"/>
          <w:sz w:val="32"/>
          <w:szCs w:val="32"/>
        </w:rPr>
        <w:t>我部门无其他需说明的事项。</w:t>
      </w:r>
    </w:p>
    <w:p>
      <w:pPr>
        <w:keepNext w:val="0"/>
        <w:keepLines w:val="0"/>
        <w:pageBreakBefore w:val="0"/>
        <w:kinsoku/>
        <w:wordWrap/>
        <w:overflowPunct/>
        <w:topLinePunct w:val="0"/>
        <w:bidi w:val="0"/>
        <w:snapToGrid/>
        <w:spacing w:line="580" w:lineRule="exact"/>
        <w:ind w:firstLine="648"/>
        <w:textAlignment w:val="auto"/>
        <w:rPr>
          <w:rFonts w:ascii="仿宋_GB2312" w:hAnsi="宋体" w:eastAsia="仿宋_GB2312" w:cs="宋体"/>
          <w:color w:val="auto"/>
          <w:sz w:val="32"/>
          <w:szCs w:val="32"/>
        </w:rPr>
      </w:pPr>
    </w:p>
    <w:p>
      <w:pPr>
        <w:keepNext w:val="0"/>
        <w:keepLines w:val="0"/>
        <w:pageBreakBefore w:val="0"/>
        <w:kinsoku/>
        <w:wordWrap/>
        <w:overflowPunct/>
        <w:topLinePunct w:val="0"/>
        <w:bidi w:val="0"/>
        <w:snapToGrid/>
        <w:spacing w:line="580" w:lineRule="exact"/>
        <w:jc w:val="center"/>
        <w:textAlignment w:val="auto"/>
        <w:rPr>
          <w:rFonts w:hint="eastAsia" w:ascii="仿宋_GB2312" w:eastAsia="仿宋_GB2312"/>
          <w:color w:val="auto"/>
          <w:sz w:val="32"/>
          <w:szCs w:val="32"/>
        </w:rPr>
      </w:pPr>
    </w:p>
    <w:p>
      <w:pPr>
        <w:keepNext w:val="0"/>
        <w:keepLines w:val="0"/>
        <w:pageBreakBefore w:val="0"/>
        <w:kinsoku/>
        <w:wordWrap/>
        <w:overflowPunct/>
        <w:topLinePunct w:val="0"/>
        <w:bidi w:val="0"/>
        <w:snapToGrid/>
        <w:spacing w:line="580" w:lineRule="exact"/>
        <w:jc w:val="center"/>
        <w:textAlignment w:val="auto"/>
        <w:rPr>
          <w:rFonts w:hint="eastAsia" w:ascii="仿宋_GB2312" w:eastAsia="仿宋_GB2312"/>
          <w:color w:val="auto"/>
          <w:sz w:val="32"/>
          <w:szCs w:val="32"/>
        </w:rPr>
      </w:pPr>
    </w:p>
    <w:p>
      <w:pPr>
        <w:keepNext w:val="0"/>
        <w:keepLines w:val="0"/>
        <w:pageBreakBefore w:val="0"/>
        <w:kinsoku/>
        <w:wordWrap/>
        <w:overflowPunct/>
        <w:topLinePunct w:val="0"/>
        <w:bidi w:val="0"/>
        <w:snapToGrid/>
        <w:spacing w:line="580" w:lineRule="exact"/>
        <w:jc w:val="center"/>
        <w:textAlignment w:val="auto"/>
        <w:rPr>
          <w:rFonts w:hint="eastAsia" w:ascii="仿宋_GB2312" w:eastAsia="仿宋_GB2312"/>
          <w:color w:val="auto"/>
          <w:sz w:val="32"/>
          <w:szCs w:val="32"/>
        </w:rPr>
      </w:pPr>
    </w:p>
    <w:p>
      <w:pPr>
        <w:keepNext w:val="0"/>
        <w:keepLines w:val="0"/>
        <w:pageBreakBefore w:val="0"/>
        <w:kinsoku/>
        <w:wordWrap/>
        <w:overflowPunct/>
        <w:topLinePunct w:val="0"/>
        <w:bidi w:val="0"/>
        <w:snapToGrid/>
        <w:spacing w:line="580" w:lineRule="exact"/>
        <w:jc w:val="center"/>
        <w:textAlignment w:val="auto"/>
        <w:rPr>
          <w:rFonts w:hint="eastAsia" w:ascii="仿宋_GB2312" w:eastAsia="仿宋_GB2312"/>
          <w:color w:val="auto"/>
          <w:sz w:val="32"/>
          <w:szCs w:val="32"/>
        </w:rPr>
      </w:pPr>
    </w:p>
    <w:p>
      <w:pPr>
        <w:keepNext w:val="0"/>
        <w:keepLines w:val="0"/>
        <w:pageBreakBefore w:val="0"/>
        <w:kinsoku/>
        <w:wordWrap/>
        <w:overflowPunct/>
        <w:topLinePunct w:val="0"/>
        <w:bidi w:val="0"/>
        <w:snapToGrid/>
        <w:spacing w:line="580" w:lineRule="exact"/>
        <w:jc w:val="center"/>
        <w:textAlignment w:val="auto"/>
        <w:rPr>
          <w:rFonts w:hint="eastAsia" w:ascii="仿宋_GB2312" w:eastAsia="仿宋_GB2312"/>
          <w:color w:val="auto"/>
          <w:sz w:val="32"/>
          <w:szCs w:val="32"/>
        </w:rPr>
      </w:pPr>
    </w:p>
    <w:p>
      <w:pPr>
        <w:keepNext w:val="0"/>
        <w:keepLines w:val="0"/>
        <w:pageBreakBefore w:val="0"/>
        <w:kinsoku/>
        <w:wordWrap/>
        <w:overflowPunct/>
        <w:topLinePunct w:val="0"/>
        <w:bidi w:val="0"/>
        <w:snapToGrid/>
        <w:spacing w:line="580" w:lineRule="exact"/>
        <w:jc w:val="center"/>
        <w:textAlignment w:val="auto"/>
        <w:rPr>
          <w:rFonts w:hint="eastAsia" w:ascii="仿宋_GB2312" w:eastAsia="仿宋_GB2312"/>
          <w:color w:val="auto"/>
          <w:sz w:val="32"/>
          <w:szCs w:val="32"/>
        </w:rPr>
      </w:pPr>
    </w:p>
    <w:p>
      <w:pPr>
        <w:keepNext w:val="0"/>
        <w:keepLines w:val="0"/>
        <w:pageBreakBefore w:val="0"/>
        <w:kinsoku/>
        <w:wordWrap/>
        <w:overflowPunct/>
        <w:topLinePunct w:val="0"/>
        <w:bidi w:val="0"/>
        <w:snapToGrid/>
        <w:spacing w:line="580" w:lineRule="exact"/>
        <w:jc w:val="center"/>
        <w:textAlignment w:val="auto"/>
        <w:rPr>
          <w:rFonts w:hint="eastAsia" w:ascii="仿宋_GB2312" w:eastAsia="仿宋_GB2312"/>
          <w:color w:val="auto"/>
          <w:sz w:val="32"/>
          <w:szCs w:val="32"/>
        </w:rPr>
      </w:pPr>
    </w:p>
    <w:sectPr>
      <w:footerReference r:id="rId3" w:type="default"/>
      <w:footerReference r:id="rId4" w:type="even"/>
      <w:pgSz w:w="11850" w:h="16783"/>
      <w:pgMar w:top="2154"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7</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0E"/>
    <w:rsid w:val="00014908"/>
    <w:rsid w:val="00016280"/>
    <w:rsid w:val="000312CE"/>
    <w:rsid w:val="0003506C"/>
    <w:rsid w:val="00066256"/>
    <w:rsid w:val="00071514"/>
    <w:rsid w:val="00074A77"/>
    <w:rsid w:val="000B03BD"/>
    <w:rsid w:val="000B10C5"/>
    <w:rsid w:val="000B579F"/>
    <w:rsid w:val="000B5D7E"/>
    <w:rsid w:val="000C449B"/>
    <w:rsid w:val="000C6486"/>
    <w:rsid w:val="000C6A58"/>
    <w:rsid w:val="000D6CA1"/>
    <w:rsid w:val="0010383F"/>
    <w:rsid w:val="00115874"/>
    <w:rsid w:val="001326CD"/>
    <w:rsid w:val="0016757C"/>
    <w:rsid w:val="001745AD"/>
    <w:rsid w:val="00186780"/>
    <w:rsid w:val="001A67B1"/>
    <w:rsid w:val="001A692C"/>
    <w:rsid w:val="001B0FCF"/>
    <w:rsid w:val="001D460D"/>
    <w:rsid w:val="001D6FCF"/>
    <w:rsid w:val="001E2441"/>
    <w:rsid w:val="001E5E7B"/>
    <w:rsid w:val="001F1E23"/>
    <w:rsid w:val="00207119"/>
    <w:rsid w:val="002241A6"/>
    <w:rsid w:val="00227B63"/>
    <w:rsid w:val="00242C20"/>
    <w:rsid w:val="00243183"/>
    <w:rsid w:val="00245BFB"/>
    <w:rsid w:val="002B723A"/>
    <w:rsid w:val="002D79CC"/>
    <w:rsid w:val="002E7619"/>
    <w:rsid w:val="002F1A8F"/>
    <w:rsid w:val="002F2026"/>
    <w:rsid w:val="003139D8"/>
    <w:rsid w:val="003505C8"/>
    <w:rsid w:val="003539C7"/>
    <w:rsid w:val="00373542"/>
    <w:rsid w:val="00374110"/>
    <w:rsid w:val="00384872"/>
    <w:rsid w:val="003B4E4C"/>
    <w:rsid w:val="003D0BCA"/>
    <w:rsid w:val="004074F8"/>
    <w:rsid w:val="00413860"/>
    <w:rsid w:val="00422A65"/>
    <w:rsid w:val="00430B93"/>
    <w:rsid w:val="004367A3"/>
    <w:rsid w:val="00450647"/>
    <w:rsid w:val="00454301"/>
    <w:rsid w:val="00462411"/>
    <w:rsid w:val="004652A1"/>
    <w:rsid w:val="0047501E"/>
    <w:rsid w:val="00482E91"/>
    <w:rsid w:val="00483386"/>
    <w:rsid w:val="0048406D"/>
    <w:rsid w:val="004849E0"/>
    <w:rsid w:val="00490231"/>
    <w:rsid w:val="004A0B18"/>
    <w:rsid w:val="004A6AEC"/>
    <w:rsid w:val="004D1E3D"/>
    <w:rsid w:val="004D1E42"/>
    <w:rsid w:val="004F4820"/>
    <w:rsid w:val="004F604C"/>
    <w:rsid w:val="005002F1"/>
    <w:rsid w:val="00503BF4"/>
    <w:rsid w:val="00525FD4"/>
    <w:rsid w:val="00537166"/>
    <w:rsid w:val="005524FD"/>
    <w:rsid w:val="00563393"/>
    <w:rsid w:val="00580C87"/>
    <w:rsid w:val="00587BDE"/>
    <w:rsid w:val="005A1BA4"/>
    <w:rsid w:val="005D6B1A"/>
    <w:rsid w:val="005E138D"/>
    <w:rsid w:val="0060781A"/>
    <w:rsid w:val="00645C7E"/>
    <w:rsid w:val="006555EF"/>
    <w:rsid w:val="00676B04"/>
    <w:rsid w:val="006818C6"/>
    <w:rsid w:val="006A793E"/>
    <w:rsid w:val="006C3646"/>
    <w:rsid w:val="006C56E0"/>
    <w:rsid w:val="006E7CD0"/>
    <w:rsid w:val="00704162"/>
    <w:rsid w:val="00720962"/>
    <w:rsid w:val="00721DF0"/>
    <w:rsid w:val="007248AD"/>
    <w:rsid w:val="0073346D"/>
    <w:rsid w:val="007425AA"/>
    <w:rsid w:val="00752789"/>
    <w:rsid w:val="007866AC"/>
    <w:rsid w:val="0079430C"/>
    <w:rsid w:val="007A36E5"/>
    <w:rsid w:val="007C7D86"/>
    <w:rsid w:val="007F16DF"/>
    <w:rsid w:val="007F6EEC"/>
    <w:rsid w:val="007F719F"/>
    <w:rsid w:val="00803E75"/>
    <w:rsid w:val="0080558C"/>
    <w:rsid w:val="00816B8A"/>
    <w:rsid w:val="00825532"/>
    <w:rsid w:val="00833E26"/>
    <w:rsid w:val="00845B78"/>
    <w:rsid w:val="00867CD5"/>
    <w:rsid w:val="008741E2"/>
    <w:rsid w:val="00891E41"/>
    <w:rsid w:val="008A7461"/>
    <w:rsid w:val="008B29CA"/>
    <w:rsid w:val="008C1926"/>
    <w:rsid w:val="008C6D5B"/>
    <w:rsid w:val="008D7A0E"/>
    <w:rsid w:val="00917144"/>
    <w:rsid w:val="009508F0"/>
    <w:rsid w:val="00967613"/>
    <w:rsid w:val="00990FAB"/>
    <w:rsid w:val="00995623"/>
    <w:rsid w:val="009A6C99"/>
    <w:rsid w:val="009B44F7"/>
    <w:rsid w:val="009C4768"/>
    <w:rsid w:val="009E3B0A"/>
    <w:rsid w:val="00A152D5"/>
    <w:rsid w:val="00A24C3E"/>
    <w:rsid w:val="00A30C71"/>
    <w:rsid w:val="00A31D3F"/>
    <w:rsid w:val="00A353BD"/>
    <w:rsid w:val="00A46987"/>
    <w:rsid w:val="00A56214"/>
    <w:rsid w:val="00A67B71"/>
    <w:rsid w:val="00A94D82"/>
    <w:rsid w:val="00A9797D"/>
    <w:rsid w:val="00AA0004"/>
    <w:rsid w:val="00AC0816"/>
    <w:rsid w:val="00AE2598"/>
    <w:rsid w:val="00AE757F"/>
    <w:rsid w:val="00B13DCB"/>
    <w:rsid w:val="00B425D2"/>
    <w:rsid w:val="00B70EFD"/>
    <w:rsid w:val="00B72D9A"/>
    <w:rsid w:val="00B841C4"/>
    <w:rsid w:val="00B9101B"/>
    <w:rsid w:val="00BA09DB"/>
    <w:rsid w:val="00BC50AD"/>
    <w:rsid w:val="00BD32CF"/>
    <w:rsid w:val="00BD5894"/>
    <w:rsid w:val="00BE0A59"/>
    <w:rsid w:val="00C01D53"/>
    <w:rsid w:val="00C209C4"/>
    <w:rsid w:val="00C47967"/>
    <w:rsid w:val="00C574BB"/>
    <w:rsid w:val="00C66712"/>
    <w:rsid w:val="00C9057F"/>
    <w:rsid w:val="00C95549"/>
    <w:rsid w:val="00C96C2D"/>
    <w:rsid w:val="00CA691B"/>
    <w:rsid w:val="00CA6D94"/>
    <w:rsid w:val="00CB2810"/>
    <w:rsid w:val="00CC1741"/>
    <w:rsid w:val="00CC67C3"/>
    <w:rsid w:val="00CD78D7"/>
    <w:rsid w:val="00D15F59"/>
    <w:rsid w:val="00D32262"/>
    <w:rsid w:val="00D67978"/>
    <w:rsid w:val="00D75461"/>
    <w:rsid w:val="00D85C69"/>
    <w:rsid w:val="00DA0830"/>
    <w:rsid w:val="00DB585A"/>
    <w:rsid w:val="00DD74A6"/>
    <w:rsid w:val="00DE0382"/>
    <w:rsid w:val="00DE15BA"/>
    <w:rsid w:val="00DE4BAC"/>
    <w:rsid w:val="00DF169C"/>
    <w:rsid w:val="00DF5088"/>
    <w:rsid w:val="00E17874"/>
    <w:rsid w:val="00E20A63"/>
    <w:rsid w:val="00E5481E"/>
    <w:rsid w:val="00E84A3F"/>
    <w:rsid w:val="00EB07F9"/>
    <w:rsid w:val="00EB3610"/>
    <w:rsid w:val="00ED0F42"/>
    <w:rsid w:val="00EE4D33"/>
    <w:rsid w:val="00EF3B8C"/>
    <w:rsid w:val="00EF7827"/>
    <w:rsid w:val="00F0158A"/>
    <w:rsid w:val="00F16C2E"/>
    <w:rsid w:val="00F17D7A"/>
    <w:rsid w:val="00F22E2D"/>
    <w:rsid w:val="00F26318"/>
    <w:rsid w:val="00F266D2"/>
    <w:rsid w:val="00F5023A"/>
    <w:rsid w:val="00F636F3"/>
    <w:rsid w:val="00F658AC"/>
    <w:rsid w:val="00F70D06"/>
    <w:rsid w:val="00F72422"/>
    <w:rsid w:val="00FB277C"/>
    <w:rsid w:val="00FB3A4E"/>
    <w:rsid w:val="00FD0EF8"/>
    <w:rsid w:val="00FD3438"/>
    <w:rsid w:val="03BE4753"/>
    <w:rsid w:val="2C352ECF"/>
    <w:rsid w:val="42BD122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kern w:val="0"/>
      <w:sz w:val="24"/>
      <w:szCs w:val="20"/>
      <w:lang w:eastAsia="en-US"/>
    </w:rPr>
  </w:style>
  <w:style w:type="character" w:styleId="7">
    <w:name w:val="page number"/>
    <w:basedOn w:val="6"/>
    <w:qFormat/>
    <w:uiPriority w:val="99"/>
    <w:rPr>
      <w:rFonts w:cs="Times New Roman"/>
    </w:rPr>
  </w:style>
  <w:style w:type="character" w:styleId="8">
    <w:name w:val="Hyperlink"/>
    <w:basedOn w:val="6"/>
    <w:qFormat/>
    <w:uiPriority w:val="99"/>
    <w:rPr>
      <w:rFonts w:cs="Times New Roman"/>
      <w:color w:val="0000FF"/>
      <w:u w:val="single"/>
    </w:rPr>
  </w:style>
  <w:style w:type="paragraph" w:styleId="9">
    <w:name w:val="List Paragraph"/>
    <w:basedOn w:val="1"/>
    <w:qFormat/>
    <w:uiPriority w:val="99"/>
    <w:pPr>
      <w:ind w:firstLine="420" w:firstLineChars="200"/>
    </w:pPr>
  </w:style>
  <w:style w:type="character" w:customStyle="1" w:styleId="10">
    <w:name w:val="页眉 Char"/>
    <w:basedOn w:val="6"/>
    <w:link w:val="3"/>
    <w:semiHidden/>
    <w:qFormat/>
    <w:locked/>
    <w:uiPriority w:val="99"/>
    <w:rPr>
      <w:rFonts w:cs="Times New Roman"/>
      <w:sz w:val="18"/>
      <w:szCs w:val="18"/>
    </w:rPr>
  </w:style>
  <w:style w:type="character" w:customStyle="1" w:styleId="11">
    <w:name w:val="页脚 Char"/>
    <w:basedOn w:val="6"/>
    <w:link w:val="2"/>
    <w:semiHidden/>
    <w:qFormat/>
    <w:locked/>
    <w:uiPriority w:val="99"/>
    <w:rPr>
      <w:rFonts w:cs="Times New Roman"/>
      <w:sz w:val="18"/>
      <w:szCs w:val="18"/>
    </w:rPr>
  </w:style>
  <w:style w:type="paragraph" w:customStyle="1" w:styleId="12">
    <w:name w:val="Char"/>
    <w:basedOn w:val="1"/>
    <w:qFormat/>
    <w:uiPriority w:val="99"/>
    <w:pPr>
      <w:spacing w:line="360" w:lineRule="auto"/>
    </w:pPr>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956</Words>
  <Characters>5453</Characters>
  <Lines>45</Lines>
  <Paragraphs>12</Paragraphs>
  <TotalTime>766</TotalTime>
  <ScaleCrop>false</ScaleCrop>
  <LinksUpToDate>false</LinksUpToDate>
  <CharactersWithSpaces>6397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2017-06-20T12:57:00Z</dcterms:created>
  <dc:creator>zhang</dc:creator>
  <cp:lastModifiedBy>admin</cp:lastModifiedBy>
  <dcterms:modified xsi:type="dcterms:W3CDTF">2020-09-01T01:55:35Z</dcterms:modified>
  <cp:revision>477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